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791845</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757555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________________________________</w:t>
      </w:r>
    </w:p>
    <w:p>
      <w:pPr>
        <w:jc w:val="center"/>
        <w:ind w:right="-179"/>
        <w:spacing w:after="0" w:line="236" w:lineRule="auto"/>
        <w:rPr>
          <w:sz w:val="20"/>
          <w:szCs w:val="20"/>
          <w:color w:val="auto"/>
        </w:rPr>
      </w:pPr>
      <w:r>
        <w:rPr>
          <w:rFonts w:ascii="Times New Roman" w:cs="Times New Roman" w:eastAsia="Times New Roman" w:hAnsi="Times New Roman"/>
          <w:sz w:val="32"/>
          <w:szCs w:val="32"/>
          <w:b w:val="1"/>
          <w:bCs w:val="1"/>
          <w:color w:val="auto"/>
        </w:rPr>
        <w:t>FORM 8-K</w:t>
      </w: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8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May 20, 2026</w:t>
      </w:r>
    </w:p>
    <w:p>
      <w:pPr>
        <w:spacing w:after="0" w:line="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color w:val="auto"/>
        </w:rPr>
        <w:t>PIPER SANDLER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1522095</wp:posOffset>
            </wp:positionH>
            <wp:positionV relativeFrom="paragraph">
              <wp:posOffset>26035</wp:posOffset>
            </wp:positionV>
            <wp:extent cx="4088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42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600" w:type="dxa"/>
            <w:vAlign w:val="bottom"/>
          </w:tcPr>
          <w:p>
            <w:pPr>
              <w:spacing w:after="0"/>
              <w:rPr>
                <w:sz w:val="20"/>
                <w:szCs w:val="20"/>
                <w:color w:val="auto"/>
              </w:rPr>
            </w:pPr>
          </w:p>
        </w:tc>
      </w:tr>
      <w:tr>
        <w:trPr>
          <w:trHeight w:val="364"/>
        </w:trPr>
        <w:tc>
          <w:tcPr>
            <w:tcW w:w="3100" w:type="dxa"/>
            <w:vAlign w:val="bottom"/>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80" w:type="dxa"/>
            <w:vAlign w:val="bottom"/>
          </w:tcPr>
          <w:p>
            <w:pPr>
              <w:jc w:val="right"/>
              <w:ind w:right="1876"/>
              <w:spacing w:after="0"/>
              <w:rPr>
                <w:sz w:val="20"/>
                <w:szCs w:val="20"/>
                <w:color w:val="auto"/>
              </w:rPr>
            </w:pPr>
            <w:r>
              <w:rPr>
                <w:rFonts w:ascii="Times New Roman" w:cs="Times New Roman" w:eastAsia="Times New Roman" w:hAnsi="Times New Roman"/>
                <w:sz w:val="18"/>
                <w:szCs w:val="18"/>
                <w:b w:val="1"/>
                <w:bCs w:val="1"/>
                <w:color w:val="auto"/>
              </w:rPr>
              <w:t>1-31720</w:t>
            </w:r>
          </w:p>
        </w:tc>
        <w:tc>
          <w:tcPr>
            <w:tcW w:w="2600" w:type="dxa"/>
            <w:vAlign w:val="bottom"/>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30-0168701</w:t>
            </w:r>
          </w:p>
        </w:tc>
      </w:tr>
      <w:tr>
        <w:trPr>
          <w:trHeight w:val="193"/>
        </w:trPr>
        <w:tc>
          <w:tcPr>
            <w:tcW w:w="3100" w:type="dxa"/>
            <w:vAlign w:val="bottom"/>
          </w:tcPr>
          <w:p>
            <w:pPr>
              <w:jc w:val="center"/>
              <w:ind w:right="37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w:t>
            </w:r>
          </w:p>
        </w:tc>
        <w:tc>
          <w:tcPr>
            <w:tcW w:w="4280" w:type="dxa"/>
            <w:vAlign w:val="bottom"/>
          </w:tcPr>
          <w:p>
            <w:pPr>
              <w:jc w:val="center"/>
              <w:ind w:right="176"/>
              <w:spacing w:after="0"/>
              <w:rPr>
                <w:sz w:val="20"/>
                <w:szCs w:val="20"/>
                <w:color w:val="auto"/>
              </w:rPr>
            </w:pPr>
            <w:r>
              <w:rPr>
                <w:rFonts w:ascii="Times New Roman" w:cs="Times New Roman" w:eastAsia="Times New Roman" w:hAnsi="Times New Roman"/>
                <w:sz w:val="14"/>
                <w:szCs w:val="14"/>
                <w:i w:val="1"/>
                <w:iCs w:val="1"/>
                <w:color w:val="auto"/>
              </w:rPr>
              <w:t>(Commission File Number)</w:t>
            </w:r>
          </w:p>
        </w:tc>
        <w:tc>
          <w:tcPr>
            <w:tcW w:w="2600" w:type="dxa"/>
            <w:vAlign w:val="bottom"/>
          </w:tcPr>
          <w:p>
            <w:pPr>
              <w:jc w:val="center"/>
              <w:ind w:left="559"/>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79"/>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350 N 5th Street Suite 1000</w:t>
            </w:r>
          </w:p>
        </w:tc>
        <w:tc>
          <w:tcPr>
            <w:tcW w:w="42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8"/>
        </w:trPr>
        <w:tc>
          <w:tcPr>
            <w:tcW w:w="31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Minneapolis Minnesota</w:t>
            </w:r>
          </w:p>
        </w:tc>
        <w:tc>
          <w:tcPr>
            <w:tcW w:w="4280" w:type="dxa"/>
            <w:vAlign w:val="bottom"/>
          </w:tcPr>
          <w:p>
            <w:pPr>
              <w:spacing w:after="0"/>
              <w:rPr>
                <w:sz w:val="20"/>
                <w:szCs w:val="20"/>
                <w:color w:val="auto"/>
              </w:rPr>
            </w:pPr>
          </w:p>
        </w:tc>
        <w:tc>
          <w:tcPr>
            <w:tcW w:w="2600" w:type="dxa"/>
            <w:vAlign w:val="bottom"/>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55401</w:t>
            </w:r>
          </w:p>
        </w:tc>
      </w:tr>
      <w:tr>
        <w:trPr>
          <w:trHeight w:val="220"/>
        </w:trPr>
        <w:tc>
          <w:tcPr>
            <w:tcW w:w="3100" w:type="dxa"/>
            <w:vAlign w:val="bottom"/>
          </w:tcPr>
          <w:p>
            <w:pPr>
              <w:jc w:val="center"/>
              <w:ind w:right="37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280" w:type="dxa"/>
            <w:vAlign w:val="bottom"/>
          </w:tcPr>
          <w:p>
            <w:pPr>
              <w:spacing w:after="0"/>
              <w:rPr>
                <w:sz w:val="19"/>
                <w:szCs w:val="19"/>
                <w:color w:val="auto"/>
              </w:rPr>
            </w:pPr>
          </w:p>
        </w:tc>
        <w:tc>
          <w:tcPr>
            <w:tcW w:w="2600" w:type="dxa"/>
            <w:vAlign w:val="bottom"/>
          </w:tcPr>
          <w:p>
            <w:pPr>
              <w:jc w:val="center"/>
              <w:ind w:left="559"/>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07"/>
        </w:trPr>
        <w:tc>
          <w:tcPr>
            <w:tcW w:w="3100" w:type="dxa"/>
            <w:vAlign w:val="bottom"/>
          </w:tcPr>
          <w:p>
            <w:pPr>
              <w:spacing w:after="0"/>
              <w:rPr>
                <w:sz w:val="24"/>
                <w:szCs w:val="24"/>
                <w:color w:val="auto"/>
              </w:rPr>
            </w:pPr>
          </w:p>
        </w:tc>
        <w:tc>
          <w:tcPr>
            <w:tcW w:w="4280" w:type="dxa"/>
            <w:vAlign w:val="bottom"/>
          </w:tcPr>
          <w:p>
            <w:pPr>
              <w:jc w:val="right"/>
              <w:ind w:right="1556"/>
              <w:spacing w:after="0"/>
              <w:rPr>
                <w:sz w:val="20"/>
                <w:szCs w:val="20"/>
                <w:color w:val="auto"/>
              </w:rPr>
            </w:pPr>
            <w:r>
              <w:rPr>
                <w:rFonts w:ascii="Times New Roman" w:cs="Times New Roman" w:eastAsia="Times New Roman" w:hAnsi="Times New Roman"/>
                <w:sz w:val="18"/>
                <w:szCs w:val="18"/>
                <w:b w:val="1"/>
                <w:bCs w:val="1"/>
                <w:color w:val="auto"/>
              </w:rPr>
              <w:t>(612) 303-6000</w:t>
            </w:r>
          </w:p>
        </w:tc>
        <w:tc>
          <w:tcPr>
            <w:tcW w:w="2600" w:type="dxa"/>
            <w:vAlign w:val="bottom"/>
          </w:tcPr>
          <w:p>
            <w:pPr>
              <w:spacing w:after="0"/>
              <w:rPr>
                <w:sz w:val="24"/>
                <w:szCs w:val="24"/>
                <w:color w:val="auto"/>
              </w:rPr>
            </w:pPr>
          </w:p>
        </w:tc>
      </w:tr>
      <w:tr>
        <w:trPr>
          <w:trHeight w:val="220"/>
        </w:trPr>
        <w:tc>
          <w:tcPr>
            <w:tcW w:w="3100" w:type="dxa"/>
            <w:vAlign w:val="bottom"/>
          </w:tcPr>
          <w:p>
            <w:pPr>
              <w:spacing w:after="0"/>
              <w:rPr>
                <w:sz w:val="19"/>
                <w:szCs w:val="19"/>
                <w:color w:val="auto"/>
              </w:rPr>
            </w:pPr>
          </w:p>
        </w:tc>
        <w:tc>
          <w:tcPr>
            <w:tcW w:w="4280" w:type="dxa"/>
            <w:vAlign w:val="bottom"/>
          </w:tcPr>
          <w:p>
            <w:pPr>
              <w:jc w:val="center"/>
              <w:ind w:right="76"/>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600" w:type="dxa"/>
            <w:vAlign w:val="bottom"/>
          </w:tcPr>
          <w:p>
            <w:pPr>
              <w:spacing w:after="0"/>
              <w:rPr>
                <w:sz w:val="19"/>
                <w:szCs w:val="19"/>
                <w:color w:val="auto"/>
              </w:rPr>
            </w:pPr>
          </w:p>
        </w:tc>
      </w:tr>
      <w:tr>
        <w:trPr>
          <w:trHeight w:val="483"/>
        </w:trPr>
        <w:tc>
          <w:tcPr>
            <w:tcW w:w="3100" w:type="dxa"/>
            <w:vAlign w:val="bottom"/>
          </w:tcPr>
          <w:p>
            <w:pPr>
              <w:spacing w:after="0"/>
              <w:rPr>
                <w:sz w:val="24"/>
                <w:szCs w:val="24"/>
                <w:color w:val="auto"/>
              </w:rPr>
            </w:pPr>
          </w:p>
        </w:tc>
        <w:tc>
          <w:tcPr>
            <w:tcW w:w="428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600" w:type="dxa"/>
            <w:vAlign w:val="bottom"/>
          </w:tcPr>
          <w:p>
            <w:pPr>
              <w:spacing w:after="0"/>
              <w:rPr>
                <w:sz w:val="24"/>
                <w:szCs w:val="24"/>
                <w:color w:val="auto"/>
              </w:rPr>
            </w:pPr>
          </w:p>
        </w:tc>
      </w:tr>
    </w:tbl>
    <w:p>
      <w:pPr>
        <w:spacing w:after="0" w:line="49" w:lineRule="exact"/>
        <w:rPr>
          <w:sz w:val="24"/>
          <w:szCs w:val="24"/>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198"/>
        </w:trPr>
        <w:tc>
          <w:tcPr>
            <w:tcW w:w="164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Trading Symbol</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0" w:type="dxa"/>
            <w:vAlign w:val="bottom"/>
          </w:tcPr>
          <w:p>
            <w:pPr>
              <w:spacing w:after="0"/>
              <w:rPr>
                <w:sz w:val="21"/>
                <w:szCs w:val="21"/>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PIPR</w:t>
            </w:r>
          </w:p>
        </w:tc>
        <w:tc>
          <w:tcPr>
            <w:tcW w:w="40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9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77470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43180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402" w:right="49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5.07.</w:t>
      </w:r>
      <w:r>
        <w:rPr>
          <w:sz w:val="20"/>
          <w:szCs w:val="20"/>
          <w:color w:val="auto"/>
        </w:rPr>
        <w:tab/>
      </w:r>
      <w:r>
        <w:rPr>
          <w:rFonts w:ascii="Times New Roman" w:cs="Times New Roman" w:eastAsia="Times New Roman" w:hAnsi="Times New Roman"/>
          <w:sz w:val="19"/>
          <w:szCs w:val="19"/>
          <w:u w:val="single" w:color="auto"/>
          <w:color w:val="auto"/>
        </w:rPr>
        <w:t>Submission of Matters to a Vote of Security Holders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right="280" w:hanging="652"/>
        <w:spacing w:after="0" w:line="261" w:lineRule="auto"/>
        <w:tabs>
          <w:tab w:leader="none" w:pos="65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Annual Meeting was held on May 20, 2026. The holders of 59,916,900 shares of common stock of the Company, constituting 84.07 percent of the outstanding shares entitled to vote as of the record date, were represented at the Annual Meeting either in person or by proxy.</w:t>
      </w:r>
    </w:p>
    <w:p>
      <w:pPr>
        <w:spacing w:after="0" w:line="194" w:lineRule="exact"/>
        <w:rPr>
          <w:rFonts w:ascii="Times New Roman" w:cs="Times New Roman" w:eastAsia="Times New Roman" w:hAnsi="Times New Roman"/>
          <w:sz w:val="20"/>
          <w:szCs w:val="20"/>
          <w:color w:val="auto"/>
        </w:rPr>
      </w:pPr>
    </w:p>
    <w:p>
      <w:pPr>
        <w:ind w:left="660" w:hanging="652"/>
        <w:spacing w:after="0" w:line="288" w:lineRule="auto"/>
        <w:tabs>
          <w:tab w:leader="none" w:pos="43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Annual Meeting, Chad R. Abraham, Jonathan J. Doyle, Stuart M. Essig, Ann C. Gallo, Victoria M. Holt, Robbin Mitchell, Thomas S. Schreier, Philip E. Soran, Brian R. Sterling and Scott C. Taylor were elected as directors to serve a one-year term expiring at the Company’s annual meeting of shareholders in 2027. The following table shows the vote totals for each of these individuals:</w:t>
      </w:r>
    </w:p>
    <w:p>
      <w:pPr>
        <w:spacing w:after="0" w:line="303" w:lineRule="exact"/>
        <w:rPr>
          <w:sz w:val="20"/>
          <w:szCs w:val="20"/>
          <w:color w:val="auto"/>
        </w:rPr>
      </w:pPr>
    </w:p>
    <w:tbl>
      <w:tblPr>
        <w:tblLayout w:type="fixed"/>
        <w:tblInd w:w="1340" w:type="dxa"/>
        <w:tblCellMar>
          <w:top w:w="0" w:type="dxa"/>
          <w:left w:w="0" w:type="dxa"/>
          <w:bottom w:w="0" w:type="dxa"/>
          <w:right w:w="0" w:type="dxa"/>
        </w:tblCellMar>
      </w:tblPr>
      <w:tr>
        <w:trPr>
          <w:trHeight w:val="266"/>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06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Votes Against</w:t>
            </w:r>
          </w:p>
        </w:tc>
        <w:tc>
          <w:tcPr>
            <w:tcW w:w="176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Abstentions</w:t>
            </w:r>
          </w:p>
        </w:tc>
      </w:tr>
      <w:tr>
        <w:trPr>
          <w:trHeight w:val="254"/>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Chad R. Abraham</w:t>
            </w:r>
          </w:p>
        </w:tc>
        <w:tc>
          <w:tcPr>
            <w:tcW w:w="34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55,065,258</w:t>
            </w:r>
          </w:p>
        </w:tc>
        <w:tc>
          <w:tcPr>
            <w:tcW w:w="24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533,760</w:t>
            </w:r>
          </w:p>
        </w:tc>
        <w:tc>
          <w:tcPr>
            <w:tcW w:w="24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129,832</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Jonathan J. Doyle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54,569,134</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1,076,867</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82,849</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Stuart M. Essig</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55,469,824</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167,234</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91,792</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 C. Gallo</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55,490,833</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161,312</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76,705</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Victoria M. Holt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53,923,230</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1,726,726</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78,894</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Robbin Mitchell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55,199,628</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437,053</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92,169</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S. Schreier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54,978,309</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671,699</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78,842</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Philip E. Soran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54,874,071</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771,863</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82,916</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Brian R. Sterling</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55,588,196</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63,651</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77,003</w:t>
            </w:r>
          </w:p>
        </w:tc>
      </w:tr>
      <w:tr>
        <w:trPr>
          <w:trHeight w:val="250"/>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Scott C. Taylor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54,350,826</w:t>
            </w:r>
          </w:p>
        </w:tc>
        <w:tc>
          <w:tcPr>
            <w:tcW w:w="240" w:type="dxa"/>
            <w:vAlign w:val="bottom"/>
          </w:tcPr>
          <w:p>
            <w:pPr>
              <w:spacing w:after="0"/>
              <w:rPr>
                <w:sz w:val="21"/>
                <w:szCs w:val="21"/>
                <w:color w:val="auto"/>
              </w:rPr>
            </w:pPr>
          </w:p>
        </w:tc>
        <w:tc>
          <w:tcPr>
            <w:tcW w:w="1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1,293,637</w:t>
            </w:r>
          </w:p>
        </w:tc>
        <w:tc>
          <w:tcPr>
            <w:tcW w:w="240" w:type="dxa"/>
            <w:vAlign w:val="bottom"/>
          </w:tcPr>
          <w:p>
            <w:pPr>
              <w:spacing w:after="0"/>
              <w:rPr>
                <w:sz w:val="21"/>
                <w:szCs w:val="21"/>
                <w:color w:val="auto"/>
              </w:rPr>
            </w:pPr>
          </w:p>
        </w:tc>
        <w:tc>
          <w:tcPr>
            <w:tcW w:w="1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84,387</w:t>
            </w: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Broker non-votes for each director totaled 4,188,050.</w:t>
      </w:r>
    </w:p>
    <w:p>
      <w:pPr>
        <w:spacing w:after="0" w:line="297" w:lineRule="exact"/>
        <w:rPr>
          <w:sz w:val="20"/>
          <w:szCs w:val="20"/>
          <w:color w:val="auto"/>
        </w:rPr>
      </w:pPr>
    </w:p>
    <w:p>
      <w:pPr>
        <w:ind w:left="660" w:right="120"/>
        <w:spacing w:after="0" w:line="268" w:lineRule="auto"/>
        <w:rPr>
          <w:sz w:val="20"/>
          <w:szCs w:val="20"/>
          <w:color w:val="auto"/>
        </w:rPr>
      </w:pPr>
      <w:r>
        <w:rPr>
          <w:rFonts w:ascii="Times New Roman" w:cs="Times New Roman" w:eastAsia="Times New Roman" w:hAnsi="Times New Roman"/>
          <w:sz w:val="20"/>
          <w:szCs w:val="20"/>
          <w:color w:val="auto"/>
        </w:rPr>
        <w:t>At the Annual Meeting, the Company’s shareholders also approved the proposal to ratify the selection of Ernst &amp; Young LLP as the independent auditor for the Company’s fiscal year ending December 31, 2026. The following table indicates the specific voting results for this proposal:</w:t>
      </w:r>
    </w:p>
    <w:p>
      <w:pPr>
        <w:spacing w:after="0" w:line="198" w:lineRule="exact"/>
        <w:rPr>
          <w:sz w:val="20"/>
          <w:szCs w:val="20"/>
          <w:color w:val="auto"/>
        </w:rPr>
      </w:pPr>
    </w:p>
    <w:tbl>
      <w:tblPr>
        <w:tblLayout w:type="fixed"/>
        <w:tblInd w:w="1320" w:type="dxa"/>
        <w:tblCellMar>
          <w:top w:w="0" w:type="dxa"/>
          <w:left w:w="0" w:type="dxa"/>
          <w:bottom w:w="0" w:type="dxa"/>
          <w:right w:w="0" w:type="dxa"/>
        </w:tblCellMar>
      </w:tblPr>
      <w:tr>
        <w:trPr>
          <w:trHeight w:val="26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Proposal</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Votes For</w:t>
            </w: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Votes Against</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Abstentions</w:t>
            </w:r>
          </w:p>
        </w:tc>
      </w:tr>
      <w:tr>
        <w:trPr>
          <w:trHeight w:val="190"/>
        </w:trPr>
        <w:tc>
          <w:tcPr>
            <w:tcW w:w="23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Ratify the selection of Ernst</w:t>
            </w:r>
          </w:p>
        </w:tc>
        <w:tc>
          <w:tcPr>
            <w:tcW w:w="280" w:type="dxa"/>
            <w:vAlign w:val="bottom"/>
          </w:tcPr>
          <w:p>
            <w:pPr>
              <w:spacing w:after="0"/>
              <w:rPr>
                <w:sz w:val="16"/>
                <w:szCs w:val="16"/>
                <w:color w:val="auto"/>
              </w:rPr>
            </w:pPr>
          </w:p>
        </w:tc>
        <w:tc>
          <w:tcPr>
            <w:tcW w:w="1580" w:type="dxa"/>
            <w:vAlign w:val="bottom"/>
            <w:tcBorders>
              <w:top w:val="single" w:sz="8" w:color="auto"/>
            </w:tcBorders>
          </w:tcPr>
          <w:p>
            <w:pPr>
              <w:jc w:val="right"/>
              <w:ind w:right="241"/>
              <w:spacing w:after="0" w:line="190" w:lineRule="exact"/>
              <w:rPr>
                <w:sz w:val="20"/>
                <w:szCs w:val="20"/>
                <w:color w:val="auto"/>
              </w:rPr>
            </w:pPr>
            <w:r>
              <w:rPr>
                <w:rFonts w:ascii="Times New Roman" w:cs="Times New Roman" w:eastAsia="Times New Roman" w:hAnsi="Times New Roman"/>
                <w:sz w:val="20"/>
                <w:szCs w:val="20"/>
                <w:color w:val="auto"/>
              </w:rPr>
              <w:t>58,666,911</w:t>
            </w:r>
          </w:p>
        </w:tc>
        <w:tc>
          <w:tcPr>
            <w:tcW w:w="280" w:type="dxa"/>
            <w:vAlign w:val="bottom"/>
          </w:tcPr>
          <w:p>
            <w:pPr>
              <w:spacing w:after="0"/>
              <w:rPr>
                <w:sz w:val="16"/>
                <w:szCs w:val="16"/>
                <w:color w:val="auto"/>
              </w:rPr>
            </w:pPr>
          </w:p>
        </w:tc>
        <w:tc>
          <w:tcPr>
            <w:tcW w:w="1860" w:type="dxa"/>
            <w:vAlign w:val="bottom"/>
            <w:tcBorders>
              <w:top w:val="single" w:sz="8" w:color="auto"/>
            </w:tcBorders>
          </w:tcPr>
          <w:p>
            <w:pPr>
              <w:jc w:val="right"/>
              <w:ind w:right="421"/>
              <w:spacing w:after="0" w:line="190" w:lineRule="exact"/>
              <w:rPr>
                <w:sz w:val="20"/>
                <w:szCs w:val="20"/>
                <w:color w:val="auto"/>
              </w:rPr>
            </w:pPr>
            <w:r>
              <w:rPr>
                <w:rFonts w:ascii="Times New Roman" w:cs="Times New Roman" w:eastAsia="Times New Roman" w:hAnsi="Times New Roman"/>
                <w:sz w:val="20"/>
                <w:szCs w:val="20"/>
                <w:color w:val="auto"/>
              </w:rPr>
              <w:t>1,165,687</w:t>
            </w:r>
          </w:p>
        </w:tc>
        <w:tc>
          <w:tcPr>
            <w:tcW w:w="300" w:type="dxa"/>
            <w:vAlign w:val="bottom"/>
          </w:tcPr>
          <w:p>
            <w:pPr>
              <w:spacing w:after="0"/>
              <w:rPr>
                <w:sz w:val="16"/>
                <w:szCs w:val="16"/>
                <w:color w:val="auto"/>
              </w:rPr>
            </w:pPr>
          </w:p>
        </w:tc>
        <w:tc>
          <w:tcPr>
            <w:tcW w:w="1700" w:type="dxa"/>
            <w:vAlign w:val="bottom"/>
            <w:tcBorders>
              <w:top w:val="single" w:sz="8" w:color="auto"/>
            </w:tcBorders>
          </w:tcPr>
          <w:p>
            <w:pPr>
              <w:jc w:val="right"/>
              <w:ind w:right="481"/>
              <w:spacing w:after="0" w:line="190" w:lineRule="exact"/>
              <w:rPr>
                <w:sz w:val="20"/>
                <w:szCs w:val="20"/>
                <w:color w:val="auto"/>
              </w:rPr>
            </w:pPr>
            <w:r>
              <w:rPr>
                <w:rFonts w:ascii="Times New Roman" w:cs="Times New Roman" w:eastAsia="Times New Roman" w:hAnsi="Times New Roman"/>
                <w:sz w:val="20"/>
                <w:szCs w:val="20"/>
                <w:color w:val="auto"/>
              </w:rPr>
              <w:t>84,302</w:t>
            </w:r>
          </w:p>
        </w:tc>
      </w:tr>
      <w:tr>
        <w:trPr>
          <w:trHeight w:val="198"/>
        </w:trPr>
        <w:tc>
          <w:tcPr>
            <w:tcW w:w="2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20"/>
                <w:szCs w:val="20"/>
                <w:color w:val="auto"/>
              </w:rPr>
              <w:t>&amp; Young LLP as the</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3"/>
        </w:trPr>
        <w:tc>
          <w:tcPr>
            <w:tcW w:w="260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20"/>
                <w:szCs w:val="20"/>
                <w:color w:val="auto"/>
              </w:rPr>
              <w:t>independent auditor for</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58"/>
        </w:trPr>
        <w:tc>
          <w:tcPr>
            <w:tcW w:w="2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79"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At the Annual Meeting, the Company’s shareholders also cast an advisory vote to approve the compensation of the officers disclosed in the proxy statement, or a “say-on-pay” vote. The following table indicates the specific voting results for this proposal:</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26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Proposal</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Votes For</w:t>
            </w: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Votes Against</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Abstentions</w:t>
            </w:r>
          </w:p>
        </w:tc>
      </w:tr>
      <w:tr>
        <w:trPr>
          <w:trHeight w:val="190"/>
        </w:trPr>
        <w:tc>
          <w:tcPr>
            <w:tcW w:w="232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Advisory (non-binding)</w:t>
            </w:r>
          </w:p>
        </w:tc>
        <w:tc>
          <w:tcPr>
            <w:tcW w:w="280" w:type="dxa"/>
            <w:vAlign w:val="bottom"/>
          </w:tcPr>
          <w:p>
            <w:pPr>
              <w:spacing w:after="0"/>
              <w:rPr>
                <w:sz w:val="16"/>
                <w:szCs w:val="16"/>
                <w:color w:val="auto"/>
              </w:rPr>
            </w:pPr>
          </w:p>
        </w:tc>
        <w:tc>
          <w:tcPr>
            <w:tcW w:w="1580" w:type="dxa"/>
            <w:vAlign w:val="bottom"/>
            <w:tcBorders>
              <w:top w:val="single" w:sz="8" w:color="auto"/>
            </w:tcBorders>
          </w:tcPr>
          <w:p>
            <w:pPr>
              <w:jc w:val="right"/>
              <w:ind w:right="241"/>
              <w:spacing w:after="0" w:line="190" w:lineRule="exact"/>
              <w:rPr>
                <w:sz w:val="20"/>
                <w:szCs w:val="20"/>
                <w:color w:val="auto"/>
              </w:rPr>
            </w:pPr>
            <w:r>
              <w:rPr>
                <w:rFonts w:ascii="Times New Roman" w:cs="Times New Roman" w:eastAsia="Times New Roman" w:hAnsi="Times New Roman"/>
                <w:sz w:val="20"/>
                <w:szCs w:val="20"/>
                <w:color w:val="auto"/>
              </w:rPr>
              <w:t>55,063,759</w:t>
            </w:r>
          </w:p>
        </w:tc>
        <w:tc>
          <w:tcPr>
            <w:tcW w:w="280" w:type="dxa"/>
            <w:vAlign w:val="bottom"/>
          </w:tcPr>
          <w:p>
            <w:pPr>
              <w:spacing w:after="0"/>
              <w:rPr>
                <w:sz w:val="16"/>
                <w:szCs w:val="16"/>
                <w:color w:val="auto"/>
              </w:rPr>
            </w:pPr>
          </w:p>
        </w:tc>
        <w:tc>
          <w:tcPr>
            <w:tcW w:w="1860" w:type="dxa"/>
            <w:vAlign w:val="bottom"/>
            <w:tcBorders>
              <w:top w:val="single" w:sz="8" w:color="auto"/>
            </w:tcBorders>
          </w:tcPr>
          <w:p>
            <w:pPr>
              <w:jc w:val="right"/>
              <w:ind w:right="501"/>
              <w:spacing w:after="0" w:line="190" w:lineRule="exact"/>
              <w:rPr>
                <w:sz w:val="20"/>
                <w:szCs w:val="20"/>
                <w:color w:val="auto"/>
              </w:rPr>
            </w:pPr>
            <w:r>
              <w:rPr>
                <w:rFonts w:ascii="Times New Roman" w:cs="Times New Roman" w:eastAsia="Times New Roman" w:hAnsi="Times New Roman"/>
                <w:sz w:val="20"/>
                <w:szCs w:val="20"/>
                <w:color w:val="auto"/>
              </w:rPr>
              <w:t>534,421</w:t>
            </w:r>
          </w:p>
        </w:tc>
        <w:tc>
          <w:tcPr>
            <w:tcW w:w="300" w:type="dxa"/>
            <w:vAlign w:val="bottom"/>
          </w:tcPr>
          <w:p>
            <w:pPr>
              <w:spacing w:after="0"/>
              <w:rPr>
                <w:sz w:val="16"/>
                <w:szCs w:val="16"/>
                <w:color w:val="auto"/>
              </w:rPr>
            </w:pPr>
          </w:p>
        </w:tc>
        <w:tc>
          <w:tcPr>
            <w:tcW w:w="1700" w:type="dxa"/>
            <w:vAlign w:val="bottom"/>
            <w:tcBorders>
              <w:top w:val="single" w:sz="8" w:color="auto"/>
            </w:tcBorders>
          </w:tcPr>
          <w:p>
            <w:pPr>
              <w:jc w:val="right"/>
              <w:ind w:right="421"/>
              <w:spacing w:after="0" w:line="190" w:lineRule="exact"/>
              <w:rPr>
                <w:sz w:val="20"/>
                <w:szCs w:val="20"/>
                <w:color w:val="auto"/>
              </w:rPr>
            </w:pPr>
            <w:r>
              <w:rPr>
                <w:rFonts w:ascii="Times New Roman" w:cs="Times New Roman" w:eastAsia="Times New Roman" w:hAnsi="Times New Roman"/>
                <w:sz w:val="20"/>
                <w:szCs w:val="20"/>
                <w:color w:val="auto"/>
              </w:rPr>
              <w:t>130,670</w:t>
            </w:r>
          </w:p>
        </w:tc>
      </w:tr>
      <w:tr>
        <w:trPr>
          <w:trHeight w:val="198"/>
        </w:trPr>
        <w:tc>
          <w:tcPr>
            <w:tcW w:w="2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20"/>
                <w:szCs w:val="20"/>
                <w:color w:val="auto"/>
              </w:rPr>
              <w:t>resolution approving the</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3"/>
        </w:trPr>
        <w:tc>
          <w:tcPr>
            <w:tcW w:w="260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20"/>
                <w:szCs w:val="20"/>
                <w:color w:val="auto"/>
              </w:rPr>
              <w:t>compensation of the officers</w:t>
            </w: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3"/>
        </w:trPr>
        <w:tc>
          <w:tcPr>
            <w:tcW w:w="26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0"/>
                <w:szCs w:val="20"/>
                <w:color w:val="auto"/>
              </w:rPr>
              <w:t>disclosed in the proxy</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2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20"/>
                <w:szCs w:val="20"/>
                <w:color w:val="auto"/>
              </w:rPr>
              <w:t>statement, or a “say-on-pay”</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58"/>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vote.</w:t>
            </w:r>
          </w:p>
        </w:tc>
        <w:tc>
          <w:tcPr>
            <w:tcW w:w="1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Broker non-votes for this proposal totaled 4,188,050.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5"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3540" w:type="dxa"/>
            <w:vAlign w:val="bottom"/>
          </w:tcPr>
          <w:p>
            <w:pPr>
              <w:spacing w:after="0"/>
              <w:rPr>
                <w:sz w:val="24"/>
                <w:szCs w:val="24"/>
                <w:color w:val="auto"/>
              </w:rPr>
            </w:pPr>
          </w:p>
        </w:tc>
        <w:tc>
          <w:tcPr>
            <w:tcW w:w="7360" w:type="dxa"/>
            <w:vAlign w:val="bottom"/>
            <w:gridSpan w:val="2"/>
          </w:tcPr>
          <w:p>
            <w:pPr>
              <w:ind w:left="1820"/>
              <w:spacing w:after="0"/>
              <w:rPr>
                <w:sz w:val="20"/>
                <w:szCs w:val="20"/>
                <w:color w:val="auto"/>
              </w:rPr>
            </w:pPr>
            <w:r>
              <w:rPr>
                <w:rFonts w:ascii="Times New Roman" w:cs="Times New Roman" w:eastAsia="Times New Roman" w:hAnsi="Times New Roman"/>
                <w:sz w:val="22"/>
                <w:szCs w:val="22"/>
                <w:color w:val="auto"/>
              </w:rPr>
              <w:t>PIPER SANDLER COMPANIES</w:t>
            </w:r>
          </w:p>
        </w:tc>
      </w:tr>
      <w:tr>
        <w:trPr>
          <w:trHeight w:val="784"/>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Date: May 21, 2026</w:t>
            </w:r>
          </w:p>
        </w:tc>
        <w:tc>
          <w:tcPr>
            <w:tcW w:w="73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/s/ John W. Geelan</w:t>
            </w:r>
          </w:p>
        </w:tc>
      </w:tr>
      <w:tr>
        <w:trPr>
          <w:trHeight w:val="250"/>
        </w:trPr>
        <w:tc>
          <w:tcPr>
            <w:tcW w:w="3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160" w:type="dxa"/>
            <w:vAlign w:val="bottom"/>
            <w:tcBorders>
              <w:top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John W. Geelan</w:t>
            </w:r>
          </w:p>
        </w:tc>
      </w:tr>
      <w:tr>
        <w:trPr>
          <w:trHeight w:val="282"/>
        </w:trPr>
        <w:tc>
          <w:tcPr>
            <w:tcW w:w="3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Counsel and Secretary</w:t>
            </w:r>
          </w:p>
        </w:tc>
      </w:tr>
    </w:tbl>
    <w:p>
      <w:pPr>
        <w:spacing w:after="0" w:line="1" w:lineRule="exact"/>
        <w:rPr>
          <w:sz w:val="20"/>
          <w:szCs w:val="20"/>
          <w:color w:val="auto"/>
        </w:rPr>
      </w:pP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2026-05-21T13:10:21Z</dcterms:created>
  <dcterms:modified xsi:type="dcterms:W3CDTF">2026-05-21T13:10:21Z</dcterms:modified>
</cp:coreProperties>
</file>