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64" w:before="10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64" w:before="60" w:after="283"/>
        <w:jc w:val="center"/>
        <w:rPr>
          <w:color w:val="000000"/>
        </w:rPr>
      </w:pPr>
      <w:r>
        <w:rPr>
          <w:color w:val="000000"/>
        </w:rPr>
        <w:t> </w:t>
      </w:r>
      <w:r>
        <w:rPr>
          <w:rFonts w:ascii="Times New Roman;serif" w:hAnsi="Times New Roman;serif"/>
          <w:b w:val="false"/>
          <w:color w:val="000000"/>
          <w:sz w:val="20"/>
        </w:rPr>
        <w:t>________________________________</w:t>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64" w:before="0" w:after="0"/>
        <w:jc w:val="center"/>
        <w:rPr>
          <w:color w:val="000000"/>
        </w:rPr>
      </w:pPr>
      <w:r>
        <w:rPr>
          <w:color w:val="000000"/>
        </w:rPr>
        <w:t> </w:t>
      </w:r>
      <w:r>
        <w:rPr>
          <w:rFonts w:ascii="Times New Roman;serif" w:hAnsi="Times New Roman;serif"/>
          <w:b w:val="false"/>
          <w:color w:val="000000"/>
          <w:sz w:val="20"/>
        </w:rPr>
        <w:t>_________________________________</w:t>
      </w:r>
    </w:p>
    <w:p>
      <w:pPr>
        <w:pStyle w:val="TextBody"/>
        <w:bidi w:val="0"/>
        <w:spacing w:lineRule="auto" w:line="264" w:before="0" w:after="12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64"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64"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left"/>
        <w:rPr/>
      </w:pPr>
      <w:r>
        <w:rPr/>
      </w:r>
    </w:p>
    <w:p>
      <w:pPr>
        <w:pStyle w:val="TextBody"/>
        <w:bidi w:val="0"/>
        <w:spacing w:lineRule="auto" w:line="264" w:before="0" w:after="0"/>
        <w:jc w:val="center"/>
        <w:rPr>
          <w:rFonts w:ascii="Times New Roman;serif" w:hAnsi="Times New Roman;serif"/>
          <w:b/>
          <w:color w:val="000000"/>
          <w:sz w:val="24"/>
        </w:rPr>
      </w:pPr>
      <w:r>
        <w:rPr>
          <w:rFonts w:ascii="Times New Roman;serif" w:hAnsi="Times New Roman;serif"/>
          <w:b/>
          <w:color w:val="000000"/>
          <w:sz w:val="24"/>
        </w:rPr>
        <w:t xml:space="preserve">September 22,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 </w:t>
      </w:r>
    </w:p>
    <w:tbl>
      <w:tblPr>
        <w:tblW w:w="691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49"/>
        <w:gridCol w:w="1849"/>
        <w:gridCol w:w="185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40"/>
              </w:rPr>
            </w:pPr>
            <w:r>
              <w:rPr>
                <w:rFonts w:ascii="Times New Roman;serif" w:hAnsi="Times New Roman;serif"/>
                <w:b w:val="false"/>
                <w:color w:val="000000"/>
                <w:sz w:val="40"/>
              </w:rPr>
              <w:t>PIPER SANDLER COMPANIES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 </w:t>
      </w:r>
    </w:p>
    <w:tbl>
      <w:tblPr>
        <w:tblW w:w="9697" w:type="dxa"/>
        <w:jc w:val="center"/>
        <w:tblInd w:w="0" w:type="dxa"/>
        <w:tblLayout w:type="fixed"/>
        <w:tblCellMar>
          <w:top w:w="28" w:type="dxa"/>
          <w:left w:w="28" w:type="dxa"/>
          <w:bottom w:w="28" w:type="dxa"/>
          <w:right w:w="28" w:type="dxa"/>
        </w:tblCellMar>
      </w:tblPr>
      <w:tblGrid>
        <w:gridCol w:w="405"/>
        <w:gridCol w:w="355"/>
        <w:gridCol w:w="355"/>
        <w:gridCol w:w="355"/>
        <w:gridCol w:w="355"/>
        <w:gridCol w:w="355"/>
        <w:gridCol w:w="355"/>
        <w:gridCol w:w="355"/>
        <w:gridCol w:w="379"/>
        <w:gridCol w:w="165"/>
        <w:gridCol w:w="165"/>
        <w:gridCol w:w="165"/>
        <w:gridCol w:w="491"/>
        <w:gridCol w:w="491"/>
        <w:gridCol w:w="491"/>
        <w:gridCol w:w="491"/>
        <w:gridCol w:w="491"/>
        <w:gridCol w:w="494"/>
        <w:gridCol w:w="165"/>
        <w:gridCol w:w="165"/>
        <w:gridCol w:w="165"/>
        <w:gridCol w:w="728"/>
        <w:gridCol w:w="728"/>
        <w:gridCol w:w="1033"/>
      </w:tblGrid>
      <w:tr>
        <w:trPr/>
        <w:tc>
          <w:tcPr>
            <w:tcW w:w="4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6"/>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color w:val="000000"/>
                <w:sz w:val="20"/>
              </w:rPr>
            </w:pPr>
            <w:r>
              <w:rPr>
                <w:rFonts w:ascii="Times New Roman;serif" w:hAnsi="Times New Roman;serif"/>
                <w:b/>
                <w:color w:val="000000"/>
                <w:sz w:val="20"/>
              </w:rPr>
              <w:t>1-31720</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color w:val="000000"/>
                <w:sz w:val="20"/>
              </w:rPr>
            </w:pPr>
            <w:r>
              <w:rPr>
                <w:rFonts w:ascii="Times New Roman;serif" w:hAnsi="Times New Roman;serif"/>
                <w:b/>
                <w:color w:val="000000"/>
                <w:sz w:val="20"/>
              </w:rPr>
              <w:t xml:space="preserve">30-0168701 </w:t>
            </w:r>
          </w:p>
        </w:tc>
      </w:tr>
      <w:tr>
        <w:trPr/>
        <w:tc>
          <w:tcPr>
            <w:tcW w:w="3269"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6"/>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i/>
                <w:color w:val="000000"/>
                <w:sz w:val="16"/>
              </w:rPr>
            </w:pPr>
            <w:r>
              <w:rPr>
                <w:rFonts w:ascii="Times New Roman;serif" w:hAnsi="Times New Roman;serif"/>
                <w:b w:val="false"/>
                <w:i/>
                <w:color w:val="000000"/>
                <w:sz w:val="16"/>
              </w:rPr>
              <w:t>(Commission File Number)</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r>
        <w:trPr/>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350 N 5th Street</w:t>
            </w:r>
          </w:p>
        </w:tc>
        <w:tc>
          <w:tcPr>
            <w:tcW w:w="10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000000"/>
                <w:sz w:val="20"/>
              </w:rPr>
            </w:pPr>
            <w:r>
              <w:rPr>
                <w:rFonts w:ascii="Times New Roman;serif" w:hAnsi="Times New Roman;serif"/>
                <w:b/>
                <w:color w:val="000000"/>
                <w:sz w:val="20"/>
              </w:rPr>
              <w:t>Suite 1000</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6"/>
            <w:tcBorders/>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color w:val="000000"/>
                <w:sz w:val="20"/>
              </w:rPr>
            </w:pPr>
            <w:r>
              <w:rPr>
                <w:rFonts w:ascii="Times New Roman;serif" w:hAnsi="Times New Roman;serif"/>
                <w:b/>
                <w:color w:val="000000"/>
                <w:sz w:val="20"/>
              </w:rPr>
              <w:t>Minneapolis</w:t>
            </w:r>
          </w:p>
        </w:tc>
        <w:tc>
          <w:tcPr>
            <w:tcW w:w="10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000000"/>
                <w:sz w:val="20"/>
              </w:rPr>
            </w:pPr>
            <w:r>
              <w:rPr>
                <w:rFonts w:ascii="Times New Roman;serif" w:hAnsi="Times New Roman;serif"/>
                <w:b/>
                <w:color w:val="000000"/>
                <w:sz w:val="20"/>
              </w:rPr>
              <w:t>Minnesota</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color w:val="000000"/>
                <w:sz w:val="20"/>
              </w:rPr>
            </w:pPr>
            <w:r>
              <w:rPr>
                <w:rFonts w:ascii="Times New Roman;serif" w:hAnsi="Times New Roman;serif"/>
                <w:b/>
                <w:color w:val="000000"/>
                <w:sz w:val="20"/>
              </w:rPr>
              <w:t>55401</w:t>
            </w:r>
          </w:p>
        </w:tc>
      </w:tr>
      <w:tr>
        <w:trPr/>
        <w:tc>
          <w:tcPr>
            <w:tcW w:w="3269"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i/>
                <w:color w:val="000000"/>
                <w:sz w:val="16"/>
              </w:rPr>
            </w:pPr>
            <w:r>
              <w:rPr>
                <w:rFonts w:ascii="Times New Roman;serif" w:hAnsi="Times New Roman;serif"/>
                <w:b w:val="false"/>
                <w:i/>
                <w:color w:val="000000"/>
                <w:sz w:val="16"/>
              </w:rPr>
              <w:t>(Zip Code)</w:t>
            </w:r>
          </w:p>
        </w:tc>
      </w:tr>
      <w:tr>
        <w:trPr/>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6"/>
            <w:tcBorders/>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color w:val="000000"/>
                <w:sz w:val="20"/>
              </w:rPr>
            </w:pPr>
            <w:r>
              <w:rPr>
                <w:rFonts w:ascii="Times New Roman;serif" w:hAnsi="Times New Roman;serif"/>
                <w:b/>
                <w:color w:val="000000"/>
                <w:sz w:val="20"/>
              </w:rPr>
              <w:t>(612)</w:t>
            </w:r>
          </w:p>
        </w:tc>
        <w:tc>
          <w:tcPr>
            <w:tcW w:w="1971"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000000"/>
                <w:sz w:val="20"/>
              </w:rPr>
            </w:pPr>
            <w:r>
              <w:rPr>
                <w:rFonts w:ascii="Times New Roman;serif" w:hAnsi="Times New Roman;serif"/>
                <w:b/>
                <w:color w:val="000000"/>
                <w:sz w:val="20"/>
              </w:rPr>
              <w:t xml:space="preserve">303-6000 </w:t>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12"/>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center"/>
        <w:rPr>
          <w:color w:val="000000"/>
        </w:rPr>
      </w:pPr>
      <w:r>
        <w:rPr>
          <w:color w:val="000000"/>
        </w:rPr>
        <w:t> </w:t>
      </w:r>
      <w:r>
        <w:rPr>
          <w:rFonts w:ascii="Times New Roman;serif" w:hAnsi="Times New Roman;serif"/>
          <w:b w:val="false"/>
          <w:color w:val="000000"/>
          <w:sz w:val="20"/>
        </w:rPr>
        <w:t>_________________________________</w:t>
      </w:r>
    </w:p>
    <w:p>
      <w:pPr>
        <w:pStyle w:val="TextBody"/>
        <w:bidi w:val="0"/>
        <w:spacing w:lineRule="auto" w:line="240" w:before="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107" w:type="dxa"/>
        <w:jc w:val="center"/>
        <w:tblInd w:w="0" w:type="dxa"/>
        <w:tblLayout w:type="fixed"/>
        <w:tblCellMar>
          <w:top w:w="28" w:type="dxa"/>
          <w:left w:w="28" w:type="dxa"/>
          <w:bottom w:w="28" w:type="dxa"/>
          <w:right w:w="28" w:type="dxa"/>
        </w:tblCellMar>
      </w:tblPr>
      <w:tblGrid>
        <w:gridCol w:w="1267"/>
        <w:gridCol w:w="1114"/>
        <w:gridCol w:w="1114"/>
        <w:gridCol w:w="516"/>
        <w:gridCol w:w="516"/>
        <w:gridCol w:w="516"/>
        <w:gridCol w:w="1190"/>
        <w:gridCol w:w="1190"/>
        <w:gridCol w:w="1684"/>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91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PIPR</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ind w:left="0" w:right="0" w:hanging="1440"/>
        <w:jc w:val="left"/>
        <w:rPr/>
      </w:pPr>
      <w:r>
        <w:rPr/>
      </w:r>
    </w:p>
    <w:p>
      <w:pPr>
        <w:pStyle w:val="TextBody"/>
        <w:bidi w:val="0"/>
        <w:spacing w:lineRule="auto" w:line="288" w:before="0" w:after="0"/>
        <w:jc w:val="left"/>
        <w:rPr/>
      </w:pPr>
      <w:r>
        <w:rPr>
          <w:rFonts w:ascii="Times New Roman;serif" w:hAnsi="Times New Roman;serif"/>
          <w:b w:val="false"/>
          <w:color w:val="000000"/>
          <w:sz w:val="24"/>
        </w:rPr>
        <w:t>Item 5.02.</w:t>
      </w:r>
      <w:r>
        <w:rPr>
          <w:color w:val="000000"/>
        </w:rPr>
        <w:t>    </w:t>
      </w:r>
      <w:r>
        <w:rPr>
          <w:rFonts w:ascii="Times New Roman;serif" w:hAnsi="Times New Roman;serif"/>
          <w:b w:val="false"/>
          <w:color w:val="000000"/>
          <w:sz w:val="24"/>
          <w:u w:val="single"/>
        </w:rPr>
        <w:t>Departure of Directors or Certain Officers; Election of Directors; Appointment of Certain Officers; Compensatory Arrangements of Certain Officers.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Effective as of September 22, 2026, upon the recommendation of the Nominating and Governance Committee of the Board of Directors (the “Board”) of Piper Sandler Companies (the “Company”), the Board elected Wendy L. Schoppert to serve as a director of the Company for an initial term expiring at the Company’s 2027 annual meeting of shareholders. Following Ms. Schoppert’s election to the Board, the size of the Company’s Board increased by one, from 10 to 11 directors. Ms. Schoppert has been appointed to serve on the Audit Committee of the Board.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Ms. Schoppert was executive vice president and chief financial officer of Sleep Number Corporation from 2011 to 2014; senior vice president and chief information officer from 2008 to 2011; and senior vice president and general manager, International and New Channel Development from 2005 to 2008. Ms. Schoppert is also currently a director of DaVita, Inc., and Fossil Group, Inc.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her service on the Board, Ms. Schoppert will participate in the Company’s 2026 non-employee director compensation program, receiving a pro-rated $100,000 annual cash retainer, a $60,000 initial equity grant, and a pro-rated $150,000 annual equity grant for the remainder of the fiscal year ending December 31, 2026.</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There are no arrangements or understandings between Ms. Schoppert and any other persons pursuant to which Ms. Schoppert was selected as a director of the Company. Ms. Schoppert has not engaged in any related person transactions (as defined in Item 404(a) of Regulation S-K) with the Company. </w:t>
      </w:r>
    </w:p>
    <w:p>
      <w:pPr>
        <w:pStyle w:val="TextBody"/>
        <w:bidi w:val="0"/>
        <w:spacing w:before="0" w:after="0"/>
        <w:ind w:left="0" w:right="0" w:firstLine="720"/>
        <w:jc w:val="both"/>
        <w:rPr/>
      </w:pPr>
      <w:r>
        <w:rPr/>
      </w:r>
    </w:p>
    <w:p>
      <w:pPr>
        <w:pStyle w:val="TextBody"/>
        <w:bidi w:val="0"/>
        <w:spacing w:lineRule="auto" w:line="268" w:before="0" w:after="0"/>
        <w:ind w:left="0" w:right="0" w:hanging="1440"/>
        <w:jc w:val="left"/>
        <w:rPr/>
      </w:pPr>
      <w:r>
        <w:rPr>
          <w:rFonts w:ascii="Times New Roman;serif" w:hAnsi="Times New Roman;serif"/>
          <w:b w:val="false"/>
          <w:color w:val="000000"/>
          <w:sz w:val="24"/>
        </w:rPr>
        <w:t>Item 7.01.</w:t>
      </w:r>
      <w:r>
        <w:rPr>
          <w:color w:val="000000"/>
        </w:rPr>
        <w:t>    </w:t>
      </w:r>
      <w:r>
        <w:rPr>
          <w:rFonts w:ascii="Times New Roman;serif" w:hAnsi="Times New Roman;serif"/>
          <w:b w:val="false"/>
          <w:color w:val="000000"/>
          <w:sz w:val="24"/>
          <w:u w:val="single"/>
        </w:rPr>
        <w:t>Regulation FD Disclosure.</w:t>
      </w:r>
    </w:p>
    <w:p>
      <w:pPr>
        <w:pStyle w:val="TextBody"/>
        <w:bidi w:val="0"/>
        <w:spacing w:before="0" w:after="0"/>
        <w:ind w:left="0" w:right="0" w:hanging="144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September 22, 2026, the Company issued a press release announcing the event discussed in Item 5.02 above, the text of which is furnished as Exhibit 99 hereto. The information contained in this Item 7.01 and Exhibit 99 is being furnished, and shall not be deemed “filed” for purposes of Section 18 of the Securities Exchange Act of 1934, as amended (the “Exchange Act”), or otherwise subject to the liabilities under Section 18 of the Exchange Act. Furthermore, the information contained in this Item 7.01 and Exhibit 99 shall not be deemed to be incorporated by reference into the filings of the Company under the Securities Act of 1933, as amended, or the Exchange Act.</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190"/>
        <w:gridCol w:w="167"/>
        <w:gridCol w:w="167"/>
        <w:gridCol w:w="176"/>
        <w:gridCol w:w="176"/>
        <w:gridCol w:w="168"/>
        <w:gridCol w:w="2687"/>
        <w:gridCol w:w="2681"/>
        <w:gridCol w:w="3793"/>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793" w:type="dxa"/>
            <w:tcBorders/>
            <w:vAlign w:val="center"/>
          </w:tcPr>
          <w:p>
            <w:pPr>
              <w:pStyle w:val="TableContents"/>
              <w:bidi w:val="0"/>
              <w:spacing w:before="0" w:after="283"/>
              <w:jc w:val="left"/>
              <w:rPr>
                <w:sz w:val="4"/>
                <w:szCs w:val="4"/>
              </w:rPr>
            </w:pPr>
            <w:r>
              <w:rPr>
                <w:sz w:val="4"/>
                <w:szCs w:val="4"/>
              </w:rPr>
            </w:r>
          </w:p>
        </w:tc>
      </w:tr>
      <w:tr>
        <w:trPr/>
        <w:tc>
          <w:tcPr>
            <w:tcW w:w="1044" w:type="dxa"/>
            <w:gridSpan w:val="6"/>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val="false"/>
                <w:color w:val="000000"/>
                <w:sz w:val="24"/>
              </w:rPr>
            </w:pPr>
            <w:r>
              <w:rPr>
                <w:rFonts w:ascii="Times New Roman;serif" w:hAnsi="Times New Roman;serif"/>
                <w:b w:val="false"/>
                <w:color w:val="000000"/>
                <w:sz w:val="24"/>
              </w:rPr>
              <w:t>Item 9.01.</w:t>
            </w:r>
          </w:p>
        </w:tc>
        <w:tc>
          <w:tcPr>
            <w:tcW w:w="9161" w:type="dxa"/>
            <w:gridSpan w:val="3"/>
            <w:tcBorders/>
            <w:tcMar>
              <w:top w:w="0" w:type="dxa"/>
              <w:left w:w="0" w:type="dxa"/>
              <w:bottom w:w="0" w:type="dxa"/>
              <w:right w:w="0" w:type="dxa"/>
            </w:tcMar>
            <w:vAlign w:val="center"/>
          </w:tcPr>
          <w:p>
            <w:pPr>
              <w:pStyle w:val="TableContents"/>
              <w:bidi w:val="0"/>
              <w:spacing w:lineRule="auto" w:line="240" w:before="180" w:after="283"/>
              <w:jc w:val="left"/>
              <w:rPr/>
            </w:pPr>
            <w:r>
              <w:rPr>
                <w:rFonts w:ascii="Times New Roman;serif" w:hAnsi="Times New Roman;serif"/>
                <w:b w:val="false"/>
                <w:color w:val="000000"/>
                <w:sz w:val="24"/>
                <w:u w:val="single"/>
              </w:rPr>
              <w:t>Financial Statements and Exhibits</w:t>
            </w:r>
            <w:r>
              <w:rPr>
                <w:rFonts w:ascii="Times New Roman;serif" w:hAnsi="Times New Roman;serif"/>
                <w:b w:val="false"/>
                <w:color w:val="000000"/>
                <w:sz w:val="24"/>
              </w:rPr>
              <w:t>.</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4"/>
              </w:rPr>
            </w:pPr>
            <w:r>
              <w:rPr>
                <w:rFonts w:ascii="Times New Roman;serif" w:hAnsi="Times New Roman;serif"/>
                <w:b w:val="false"/>
                <w:color w:val="000000"/>
                <w:sz w:val="24"/>
              </w:rPr>
              <w:t>(d)</w:t>
            </w:r>
          </w:p>
        </w:tc>
        <w:tc>
          <w:tcPr>
            <w:tcW w:w="9161"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exhibit99-wendyschoppertpr.htm">
              <w:r>
                <w:rPr>
                  <w:rStyle w:val="InternetLink"/>
                  <w:rFonts w:ascii="Times New Roman;serif" w:hAnsi="Times New Roman;serif"/>
                  <w:b w:val="false"/>
                  <w:color w:val="000080"/>
                  <w:sz w:val="24"/>
                  <w:u w:val="single"/>
                </w:rPr>
                <w:t>Exhibits</w:t>
              </w:r>
            </w:hyperlink>
            <w:hyperlink w:anchor="exhibit99-wendyschoppertpr.htm">
              <w:r>
                <w:rPr>
                  <w:rStyle w:val="InternetLink"/>
                  <w:rFonts w:ascii="Times New Roman;serif" w:hAnsi="Times New Roman;serif"/>
                  <w:b w:val="false"/>
                  <w:color w:val="000080"/>
                  <w:sz w:val="24"/>
                  <w:u w:val="single"/>
                </w:rPr>
                <w:t>.</w:t>
              </w:r>
            </w:hyperlink>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99</w:t>
            </w:r>
          </w:p>
        </w:tc>
        <w:tc>
          <w:tcPr>
            <w:tcW w:w="9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Press Release dated September 22, 2026.</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9161"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(the cover page XBRL tags are embedded 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pPr>
      <w:r>
        <w:rPr/>
      </w:r>
    </w:p>
    <w:tbl>
      <w:tblPr>
        <w:tblW w:w="7308" w:type="dxa"/>
        <w:jc w:val="left"/>
        <w:tblInd w:w="0" w:type="dxa"/>
        <w:tblLayout w:type="fixed"/>
        <w:tblCellMar>
          <w:top w:w="28" w:type="dxa"/>
          <w:left w:w="28" w:type="dxa"/>
          <w:bottom w:w="28" w:type="dxa"/>
          <w:right w:w="28" w:type="dxa"/>
        </w:tblCellMar>
      </w:tblPr>
      <w:tblGrid>
        <w:gridCol w:w="938"/>
        <w:gridCol w:w="826"/>
        <w:gridCol w:w="831"/>
        <w:gridCol w:w="541"/>
        <w:gridCol w:w="541"/>
        <w:gridCol w:w="541"/>
        <w:gridCol w:w="902"/>
        <w:gridCol w:w="902"/>
        <w:gridCol w:w="1286"/>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PIPER SANDLER COMPANIES</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September 22, 2026</w:t>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John W. Geelan</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John W. Geelan</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General Counsel 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Helvetica Neue LT W1G 55 Roman;sans-serif" w:hAnsi="Helvetica Neue LT W1G 55 Roman;sans-serif"/>
          <w:b/>
          <w:color w:val="000000"/>
          <w:sz w:val="18"/>
        </w:rPr>
      </w:pPr>
      <w:r>
        <w:rPr>
          <w:rFonts w:ascii="Helvetica Neue LT W1G 55 Roman;sans-serif" w:hAnsi="Helvetica Neue LT W1G 55 Roman;sans-serif"/>
          <w:b/>
          <w:color w:val="000000"/>
          <w:sz w:val="18"/>
        </w:rPr>
        <w:t>Exhibit 99</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2286000" cy="342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342900"/>
                    </a:xfrm>
                    <a:prstGeom prst="rect">
                      <a:avLst/>
                    </a:prstGeom>
                  </pic:spPr>
                </pic:pic>
              </a:graphicData>
            </a:graphic>
          </wp:inline>
        </w:drawing>
      </w:r>
    </w:p>
    <w:p>
      <w:pPr>
        <w:pStyle w:val="TextBody"/>
        <w:bidi w:val="0"/>
        <w:spacing w:lineRule="auto" w:line="288" w:before="0" w:after="0"/>
        <w:ind w:left="0" w:right="0" w:firstLine="720"/>
        <w:jc w:val="left"/>
        <w:rPr>
          <w:rFonts w:ascii="Arial;sans-serif" w:hAnsi="Arial;sans-serif"/>
          <w:b/>
          <w:color w:val="000000"/>
          <w:sz w:val="14"/>
        </w:rPr>
      </w:pPr>
      <w:r>
        <w:rPr>
          <w:rFonts w:ascii="Arial;sans-serif" w:hAnsi="Arial;sans-serif"/>
          <w:b/>
          <w:color w:val="000000"/>
          <w:sz w:val="14"/>
        </w:rPr>
        <w:t>Piper Sandler Companies</w:t>
      </w:r>
    </w:p>
    <w:p>
      <w:pPr>
        <w:pStyle w:val="TextBody"/>
        <w:bidi w:val="0"/>
        <w:spacing w:lineRule="auto" w:line="288" w:before="0" w:after="0"/>
        <w:ind w:left="0" w:right="0" w:firstLine="720"/>
        <w:jc w:val="left"/>
        <w:rPr>
          <w:rFonts w:ascii="Arial;sans-serif" w:hAnsi="Arial;sans-serif"/>
          <w:b w:val="false"/>
          <w:color w:val="000000"/>
          <w:sz w:val="14"/>
        </w:rPr>
      </w:pPr>
      <w:r>
        <w:rPr>
          <w:rFonts w:ascii="Arial;sans-serif" w:hAnsi="Arial;sans-serif"/>
          <w:b w:val="false"/>
          <w:color w:val="000000"/>
          <w:sz w:val="14"/>
        </w:rPr>
        <w:t>350 North 5th Street, Suite 1000</w:t>
      </w:r>
    </w:p>
    <w:p>
      <w:pPr>
        <w:pStyle w:val="TextBody"/>
        <w:bidi w:val="0"/>
        <w:spacing w:lineRule="auto" w:line="288" w:before="0" w:after="0"/>
        <w:ind w:left="0" w:right="0" w:firstLine="720"/>
        <w:jc w:val="left"/>
        <w:rPr>
          <w:rFonts w:ascii="Arial;sans-serif" w:hAnsi="Arial;sans-serif"/>
          <w:b w:val="false"/>
          <w:color w:val="000000"/>
          <w:sz w:val="14"/>
        </w:rPr>
      </w:pPr>
      <w:r>
        <w:rPr>
          <w:rFonts w:ascii="Arial;sans-serif" w:hAnsi="Arial;sans-serif"/>
          <w:b w:val="false"/>
          <w:color w:val="000000"/>
          <w:sz w:val="14"/>
        </w:rPr>
        <w:t>Minneapolis, MN 55401</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color w:val="000000"/>
          <w:sz w:val="14"/>
        </w:rPr>
      </w:pPr>
      <w:r>
        <w:rPr>
          <w:rFonts w:ascii="Arial;sans-serif" w:hAnsi="Arial;sans-serif"/>
          <w:b/>
          <w:color w:val="000000"/>
          <w:sz w:val="14"/>
        </w:rPr>
        <w:t>Contact</w:t>
      </w:r>
    </w:p>
    <w:p>
      <w:pPr>
        <w:pStyle w:val="TextBody"/>
        <w:bidi w:val="0"/>
        <w:spacing w:lineRule="auto" w:line="288" w:before="0" w:after="0"/>
        <w:ind w:left="0" w:right="0" w:firstLine="720"/>
        <w:jc w:val="left"/>
        <w:rPr>
          <w:rFonts w:ascii="Arial;sans-serif" w:hAnsi="Arial;sans-serif"/>
          <w:b w:val="false"/>
          <w:color w:val="000000"/>
          <w:sz w:val="14"/>
        </w:rPr>
      </w:pPr>
      <w:r>
        <w:rPr>
          <w:rFonts w:ascii="Arial;sans-serif" w:hAnsi="Arial;sans-serif"/>
          <w:b w:val="false"/>
          <w:color w:val="000000"/>
          <w:sz w:val="14"/>
        </w:rPr>
        <w:t>Kate Clune</w:t>
      </w:r>
    </w:p>
    <w:p>
      <w:pPr>
        <w:pStyle w:val="TextBody"/>
        <w:bidi w:val="0"/>
        <w:spacing w:lineRule="auto" w:line="288" w:before="0" w:after="0"/>
        <w:ind w:left="0" w:right="0" w:firstLine="720"/>
        <w:jc w:val="left"/>
        <w:rPr>
          <w:rFonts w:ascii="Arial;sans-serif" w:hAnsi="Arial;sans-serif"/>
          <w:b w:val="false"/>
          <w:color w:val="000000"/>
          <w:sz w:val="14"/>
        </w:rPr>
      </w:pPr>
      <w:r>
        <w:rPr>
          <w:rFonts w:ascii="Arial;sans-serif" w:hAnsi="Arial;sans-serif"/>
          <w:b w:val="false"/>
          <w:color w:val="000000"/>
          <w:sz w:val="14"/>
        </w:rPr>
        <w:t>Chief Financial Officer</w:t>
      </w:r>
    </w:p>
    <w:p>
      <w:pPr>
        <w:pStyle w:val="TextBody"/>
        <w:bidi w:val="0"/>
        <w:spacing w:lineRule="auto" w:line="288" w:before="0" w:after="0"/>
        <w:ind w:left="0" w:right="0" w:firstLine="720"/>
        <w:jc w:val="left"/>
        <w:rPr>
          <w:rFonts w:ascii="Arial;sans-serif" w:hAnsi="Arial;sans-serif"/>
          <w:b w:val="false"/>
          <w:color w:val="000000"/>
          <w:sz w:val="14"/>
        </w:rPr>
      </w:pPr>
      <w:r>
        <w:rPr>
          <w:rFonts w:ascii="Arial;sans-serif" w:hAnsi="Arial;sans-serif"/>
          <w:b w:val="false"/>
          <w:color w:val="000000"/>
          <w:sz w:val="14"/>
        </w:rPr>
        <w:t>Tel: 212 466-7799</w:t>
      </w:r>
    </w:p>
    <w:p>
      <w:pPr>
        <w:pStyle w:val="TextBody"/>
        <w:bidi w:val="0"/>
        <w:spacing w:lineRule="auto" w:line="288" w:before="0" w:after="0"/>
        <w:ind w:left="0" w:right="0" w:firstLine="720"/>
        <w:jc w:val="left"/>
        <w:rPr>
          <w:rFonts w:ascii="Arial;sans-serif" w:hAnsi="Arial;sans-serif"/>
          <w:b w:val="false"/>
          <w:color w:val="000000"/>
          <w:sz w:val="14"/>
        </w:rPr>
      </w:pPr>
      <w:r>
        <w:rPr>
          <w:rFonts w:ascii="Arial;sans-serif" w:hAnsi="Arial;sans-serif"/>
          <w:b w:val="false"/>
          <w:color w:val="000000"/>
          <w:sz w:val="14"/>
        </w:rPr>
        <w:t>investorrelations@psc.com</w:t>
      </w:r>
    </w:p>
    <w:p>
      <w:pPr>
        <w:pStyle w:val="TextBody"/>
        <w:bidi w:val="0"/>
        <w:spacing w:lineRule="auto" w:line="288" w:before="0" w:after="0"/>
        <w:jc w:val="left"/>
        <w:rPr>
          <w:rFonts w:ascii="Helvetica Neue LT W1G 55 Roman;sans-serif" w:hAnsi="Helvetica Neue LT W1G 55 Roman;sans-serif"/>
          <w:b w:val="false"/>
          <w:color w:val="000000"/>
          <w:sz w:val="20"/>
        </w:rPr>
      </w:pPr>
      <w:r>
        <w:rPr>
          <w:rFonts w:ascii="Helvetica Neue LT W1G 55 Roman;sans-serif" w:hAnsi="Helvetica Neue LT W1G 55 Roman;sans-serif"/>
          <w:b w:val="false"/>
          <w:color w:val="000000"/>
          <w:sz w:val="20"/>
        </w:rPr>
        <w:t>FOR IMMEDIATE RELEASE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Helvetica Neue LT W 1 G 45 Lt;sans-serif" w:hAnsi="Helvetica Neue LT W 1 G 45 Lt;sans-serif"/>
          <w:b/>
          <w:color w:val="000000"/>
          <w:sz w:val="34"/>
        </w:rPr>
      </w:pPr>
      <w:r>
        <w:rPr>
          <w:rFonts w:ascii="Helvetica Neue LT W 1 G 45 Lt;sans-serif" w:hAnsi="Helvetica Neue LT W 1 G 45 Lt;sans-serif"/>
          <w:b/>
          <w:color w:val="000000"/>
          <w:sz w:val="34"/>
        </w:rPr>
        <w:t xml:space="preserve">Piper Sandler Companies Elects Wendy L. Schoppert to </w:t>
        <w:br/>
        <w:t>Board of Directors</w:t>
      </w:r>
    </w:p>
    <w:p>
      <w:pPr>
        <w:pStyle w:val="TextBody"/>
        <w:bidi w:val="0"/>
        <w:spacing w:before="0" w:after="0"/>
        <w:jc w:val="left"/>
        <w:rPr/>
      </w:pPr>
      <w:r>
        <w:rPr/>
      </w:r>
    </w:p>
    <w:p>
      <w:pPr>
        <w:pStyle w:val="TextBody"/>
        <w:bidi w:val="0"/>
        <w:spacing w:lineRule="auto" w:line="268" w:before="0" w:after="0"/>
        <w:jc w:val="left"/>
        <w:rPr>
          <w:rFonts w:ascii="Helvetica Neue LT W1G 55 Roman;sans-serif" w:hAnsi="Helvetica Neue LT W1G 55 Roman;sans-serif"/>
          <w:b w:val="false"/>
          <w:color w:val="000000"/>
          <w:sz w:val="20"/>
        </w:rPr>
      </w:pPr>
      <w:r>
        <w:rPr>
          <w:rFonts w:ascii="Helvetica Neue LT W1G 55 Roman;sans-serif" w:hAnsi="Helvetica Neue LT W1G 55 Roman;sans-serif"/>
          <w:b w:val="false"/>
          <w:color w:val="000000"/>
          <w:sz w:val="20"/>
        </w:rPr>
        <w:t xml:space="preserve">MINNEAPOLIS – September 22, 2026 – Piper Sandler Companies (NYSE: PIPR), a leading investment bank, is pleased to announce the addition of Wendy L. Schoppert to its board of directors.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Helvetica Neue LT W1G 55 Roman;sans-serif" w:hAnsi="Helvetica Neue LT W1G 55 Roman;sans-serif"/>
          <w:b w:val="false"/>
          <w:color w:val="000000"/>
          <w:sz w:val="20"/>
        </w:rPr>
        <w:t xml:space="preserve">Wendy’s deep functional expertise and proven leadership will bring a valued perspective to our Board,” said Chad Abraham, Piper Sandler chairman and chief executive officer. “Her experience as CFO and a director on multiple public company boards, including within the healthcare and consumer sectors, will be important as we continue to grow and drive value creation for our shareholders.” </w:t>
      </w:r>
    </w:p>
    <w:p>
      <w:pPr>
        <w:pStyle w:val="TextBody"/>
        <w:bidi w:val="0"/>
        <w:spacing w:before="0" w:after="0"/>
        <w:jc w:val="left"/>
        <w:rPr/>
      </w:pPr>
      <w:r>
        <w:rPr/>
      </w:r>
    </w:p>
    <w:p>
      <w:pPr>
        <w:pStyle w:val="TextBody"/>
        <w:bidi w:val="0"/>
        <w:spacing w:lineRule="auto" w:line="268" w:before="0" w:after="0"/>
        <w:jc w:val="left"/>
        <w:rPr>
          <w:rFonts w:ascii="Helvetica Neue LT W1G 55 Roman;sans-serif" w:hAnsi="Helvetica Neue LT W1G 55 Roman;sans-serif"/>
          <w:b w:val="false"/>
          <w:color w:val="000000"/>
          <w:sz w:val="20"/>
        </w:rPr>
      </w:pPr>
      <w:r>
        <w:rPr>
          <w:rFonts w:ascii="Helvetica Neue LT W1G 55 Roman;sans-serif" w:hAnsi="Helvetica Neue LT W1G 55 Roman;sans-serif"/>
          <w:b w:val="false"/>
          <w:color w:val="000000"/>
          <w:sz w:val="20"/>
        </w:rPr>
        <w:t xml:space="preserve">Schoppert previously served as executive vice president and chief financial officer of Sleep Number Corporation from 2011 to 2014, where she also served as senior vice president and chief information officer from 2008 to 2011, and senior vice president and general manager, international and new channel development from 2005 to 2008. Before joining Sleep Number, Schoppert held senior roles at U.S. Bank after having begun her career in the airline industry with positions at America West Airlines, Northwest Airlines, and American Airlines. </w:t>
      </w:r>
    </w:p>
    <w:p>
      <w:pPr>
        <w:pStyle w:val="TextBody"/>
        <w:bidi w:val="0"/>
        <w:spacing w:before="0" w:after="0"/>
        <w:jc w:val="left"/>
        <w:rPr/>
      </w:pPr>
      <w:r>
        <w:rPr/>
      </w:r>
    </w:p>
    <w:p>
      <w:pPr>
        <w:pStyle w:val="TextBody"/>
        <w:bidi w:val="0"/>
        <w:spacing w:lineRule="auto" w:line="268" w:before="0" w:after="0"/>
        <w:jc w:val="left"/>
        <w:rPr>
          <w:rFonts w:ascii="Helvetica Neue LT W1G 55 Roman;sans-serif" w:hAnsi="Helvetica Neue LT W1G 55 Roman;sans-serif"/>
          <w:b w:val="false"/>
          <w:color w:val="000000"/>
          <w:sz w:val="20"/>
        </w:rPr>
      </w:pPr>
      <w:r>
        <w:rPr>
          <w:rFonts w:ascii="Helvetica Neue LT W1G 55 Roman;sans-serif" w:hAnsi="Helvetica Neue LT W1G 55 Roman;sans-serif"/>
          <w:b w:val="false"/>
          <w:color w:val="000000"/>
          <w:sz w:val="20"/>
        </w:rPr>
        <w:t>Schoppert currently serves on the board of directors at DaVita Inc. and Fossil Group, Inc. She previously served on the boards of Sun Country Airlines Holdings, Inc., The ODP Corporation (Office Depot/OfficeMax), The Hershey Company, and Big Lots, Inc. Schoppert earned a bachelor’s degree in mathematics and operations research, and an M.B.A., both from Cornell University.</w:t>
      </w:r>
    </w:p>
    <w:p>
      <w:pPr>
        <w:pStyle w:val="TextBody"/>
        <w:bidi w:val="0"/>
        <w:spacing w:before="0" w:after="0"/>
        <w:jc w:val="left"/>
        <w:rPr/>
      </w:pPr>
      <w:r>
        <w:rPr/>
      </w:r>
    </w:p>
    <w:p>
      <w:pPr>
        <w:pStyle w:val="TextBody"/>
        <w:bidi w:val="0"/>
        <w:spacing w:lineRule="auto" w:line="268" w:before="0" w:after="0"/>
        <w:jc w:val="left"/>
        <w:rPr>
          <w:rFonts w:ascii="Helvetica Neue LT W1G 55 Roman;sans-serif" w:hAnsi="Helvetica Neue LT W1G 55 Roman;sans-serif"/>
          <w:b/>
          <w:color w:val="000000"/>
          <w:sz w:val="20"/>
        </w:rPr>
      </w:pPr>
      <w:r>
        <w:rPr>
          <w:rFonts w:ascii="Helvetica Neue LT W1G 55 Roman;sans-serif" w:hAnsi="Helvetica Neue LT W1G 55 Roman;sans-serif"/>
          <w:b/>
          <w:color w:val="000000"/>
          <w:sz w:val="20"/>
        </w:rPr>
        <w:t>About Piper Sandler</w:t>
      </w:r>
    </w:p>
    <w:p>
      <w:pPr>
        <w:pStyle w:val="TextBody"/>
        <w:bidi w:val="0"/>
        <w:spacing w:lineRule="auto" w:line="268" w:before="0" w:after="0"/>
        <w:jc w:val="left"/>
        <w:rPr>
          <w:rFonts w:ascii="Helvetica Neue LT W1G 55 Roman;sans-serif" w:hAnsi="Helvetica Neue LT W1G 55 Roman;sans-serif"/>
          <w:b w:val="false"/>
          <w:color w:val="000000"/>
          <w:sz w:val="20"/>
        </w:rPr>
      </w:pPr>
      <w:r>
        <w:rPr>
          <w:rFonts w:ascii="Helvetica Neue LT W1G 55 Roman;sans-serif" w:hAnsi="Helvetica Neue LT W1G 55 Roman;sans-serif"/>
          <w:b w:val="false"/>
          <w:color w:val="000000"/>
          <w:sz w:val="20"/>
        </w:rPr>
        <w:t>Piper Sandler Companies (NYSE: PIPR) is a leading investment bank driven to help clients Realize the Power of Partnership®. Securities brokerage and investment banking services are offered in the U.S. through Piper Sandler &amp; Co., member SIPC and NYSE; in the U.K. through Piper Sandler Ltd., authorized and regulated by the U.K. Financial Conduct Authority; in the EU through Aviditi Capital Advisors Europe GmbH, a tied agent of AHP Capital Management GmbH, authorized and regulated by BaFin; in the Abu Dhabi Global Market through Piper Sandler MENA Ltd., authorized and regulated by the ADGM Financial Services Regulatory Authority; and in Hong Kong through Piper Sandler Hong Kong Ltd., authorized and regulated by the Securities and Futures Commission. Alternative asset management and fixed income advisory services are offered through separately registered advisory affiliates.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2"/>
        </w:rPr>
      </w:pPr>
      <w:r>
        <w:rPr>
          <w:rFonts w:ascii="Arial;sans-serif" w:hAnsi="Arial;sans-serif"/>
          <w:b w:val="false"/>
          <w:color w:val="000000"/>
          <w:sz w:val="12"/>
        </w:rPr>
        <w:t>____________________________________________________________________________________________________________________________________________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68" w:before="0" w:after="0"/>
        <w:jc w:val="left"/>
        <w:rPr>
          <w:rFonts w:ascii="Helvetica Neue LT W 1 G 45 Lt;sans-serif" w:hAnsi="Helvetica Neue LT W 1 G 45 Lt;sans-serif"/>
          <w:b w:val="false"/>
          <w:color w:val="000000"/>
          <w:sz w:val="15"/>
        </w:rPr>
      </w:pPr>
      <w:r>
        <w:rPr>
          <w:rFonts w:ascii="Helvetica Neue LT W 1 G 45 Lt;sans-serif" w:hAnsi="Helvetica Neue LT W 1 G 45 Lt;sans-serif"/>
          <w:b w:val="false"/>
          <w:color w:val="000000"/>
          <w:sz w:val="15"/>
        </w:rPr>
        <w:t xml:space="preserve">Follow Piper Sandler: LinkedIn | Facebook | X </w:t>
      </w:r>
    </w:p>
    <w:p>
      <w:pPr>
        <w:pStyle w:val="TextBody"/>
        <w:bidi w:val="0"/>
        <w:spacing w:before="0" w:after="0"/>
        <w:jc w:val="left"/>
        <w:rPr/>
      </w:pPr>
      <w:r>
        <w:rPr/>
      </w:r>
    </w:p>
    <w:p>
      <w:pPr>
        <w:pStyle w:val="TextBody"/>
        <w:bidi w:val="0"/>
        <w:spacing w:lineRule="auto" w:line="268"/>
        <w:jc w:val="left"/>
        <w:rPr>
          <w:rFonts w:ascii="Helvetica Neue LT W 1 G 45 Lt;sans-serif" w:hAnsi="Helvetica Neue LT W 1 G 45 Lt;sans-serif"/>
          <w:b w:val="false"/>
          <w:color w:val="000000"/>
          <w:sz w:val="15"/>
        </w:rPr>
      </w:pPr>
      <w:r>
        <w:rPr>
          <w:rFonts w:ascii="Helvetica Neue LT W 1 G 45 Lt;sans-serif" w:hAnsi="Helvetica Neue LT W 1 G 45 Lt;sans-serif"/>
          <w:b w:val="false"/>
          <w:color w:val="000000"/>
          <w:sz w:val="15"/>
        </w:rPr>
        <w:t>©2026. Since 1895. Piper Sandler Companies. 350 North 5th Street, Minneapolis, Minnesota 55401</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Neue LT W1G 55 Roman">
    <w:altName w:val="sans-serif"/>
    <w:charset w:val="01"/>
    <w:family w:val="auto"/>
    <w:pitch w:val="default"/>
  </w:font>
  <w:font w:name="Arial">
    <w:altName w:val="sans-serif"/>
    <w:charset w:val="01"/>
    <w:family w:val="auto"/>
    <w:pitch w:val="default"/>
  </w:font>
  <w:font w:name="Helvetica Neue LT W 1 G 45 L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1191</Words>
  <Characters>6812</Characters>
  <CharactersWithSpaces>7939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