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7"/>
          <w:szCs w:val="17"/>
          <w:b w:val="1"/>
          <w:bCs w:val="1"/>
          <w:color w:val="auto"/>
        </w:rPr>
        <w:t>UNITED STATES 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ind w:left="480" w:hanging="344"/>
        <w:spacing w:after="0" w:line="201" w:lineRule="auto"/>
        <w:tabs>
          <w:tab w:leader="none" w:pos="4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QUARTERLY REPORT PURSUANT TO SECTION 13 OR 15(d) OF THE SECURITIES EXCHANGE ACT OF 1934</w:t>
      </w:r>
    </w:p>
    <w:p>
      <w:pPr>
        <w:spacing w:after="0" w:line="90" w:lineRule="exact"/>
        <w:rPr>
          <w:sz w:val="24"/>
          <w:szCs w:val="24"/>
          <w:color w:val="auto"/>
        </w:rPr>
      </w:pPr>
    </w:p>
    <w:p>
      <w:pPr>
        <w:ind w:left="340"/>
        <w:spacing w:after="0"/>
        <w:rPr>
          <w:sz w:val="20"/>
          <w:szCs w:val="20"/>
          <w:color w:val="auto"/>
        </w:rPr>
      </w:pPr>
      <w:r>
        <w:rPr>
          <w:rFonts w:ascii="Arial" w:cs="Arial" w:eastAsia="Arial" w:hAnsi="Arial"/>
          <w:sz w:val="17"/>
          <w:szCs w:val="17"/>
          <w:b w:val="1"/>
          <w:bCs w:val="1"/>
          <w:color w:val="auto"/>
        </w:rPr>
        <w:t>For the Quarterly Period Ended March 31, 2026</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96" w:lineRule="exact"/>
        <w:rPr>
          <w:sz w:val="24"/>
          <w:szCs w:val="24"/>
          <w:color w:val="auto"/>
        </w:rPr>
      </w:pPr>
    </w:p>
    <w:p>
      <w:pPr>
        <w:ind w:left="340" w:right="2000" w:hanging="204"/>
        <w:spacing w:after="0" w:line="219" w:lineRule="auto"/>
        <w:tabs>
          <w:tab w:leader="none" w:pos="479"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7"/>
          <w:szCs w:val="17"/>
          <w:b w:val="1"/>
          <w:bCs w:val="1"/>
          <w:color w:val="auto"/>
        </w:rPr>
        <w:t>TRANSITION REPORT PURSUANT TO SECTION 13 OR 15(d) OF THE SECURITIES EXCHANGE ACT OF 1934 For the transition period from to</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001-31720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PIPER SANDLER COMPANIES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09" w:lineRule="exact"/>
        <w:rPr>
          <w:sz w:val="24"/>
          <w:szCs w:val="24"/>
          <w:color w:val="auto"/>
        </w:rPr>
      </w:pPr>
    </w:p>
    <w:tbl>
      <w:tblPr>
        <w:tblLayout w:type="fixed"/>
        <w:tblInd w:w="460" w:type="dxa"/>
        <w:tblCellMar>
          <w:top w:w="0" w:type="dxa"/>
          <w:left w:w="0" w:type="dxa"/>
          <w:bottom w:w="0" w:type="dxa"/>
          <w:right w:w="0" w:type="dxa"/>
        </w:tblCellMar>
      </w:tblPr>
      <w:tr>
        <w:trPr>
          <w:trHeight w:val="235"/>
        </w:trPr>
        <w:tc>
          <w:tcPr>
            <w:tcW w:w="840" w:type="dxa"/>
            <w:vAlign w:val="bottom"/>
          </w:tcPr>
          <w:p>
            <w:pPr>
              <w:spacing w:after="0"/>
              <w:rPr>
                <w:sz w:val="20"/>
                <w:szCs w:val="20"/>
                <w:color w:val="auto"/>
              </w:rPr>
            </w:pPr>
          </w:p>
        </w:tc>
        <w:tc>
          <w:tcPr>
            <w:tcW w:w="2480" w:type="dxa"/>
            <w:vAlign w:val="bottom"/>
            <w:gridSpan w:val="2"/>
          </w:tcPr>
          <w:p>
            <w:pPr>
              <w:jc w:val="center"/>
              <w:ind w:left="1017"/>
              <w:spacing w:after="0"/>
              <w:rPr>
                <w:sz w:val="20"/>
                <w:szCs w:val="20"/>
                <w:color w:val="auto"/>
              </w:rPr>
            </w:pPr>
            <w:r>
              <w:rPr>
                <w:rFonts w:ascii="Arial" w:cs="Arial" w:eastAsia="Arial" w:hAnsi="Arial"/>
                <w:sz w:val="17"/>
                <w:szCs w:val="17"/>
                <w:b w:val="1"/>
                <w:bCs w:val="1"/>
                <w:color w:val="auto"/>
                <w:w w:val="99"/>
              </w:rPr>
              <w:t>Delaware</w:t>
            </w:r>
          </w:p>
        </w:tc>
        <w:tc>
          <w:tcPr>
            <w:tcW w:w="5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760" w:type="dxa"/>
            <w:vAlign w:val="bottom"/>
          </w:tcPr>
          <w:p>
            <w:pPr>
              <w:jc w:val="center"/>
              <w:ind w:right="459"/>
              <w:spacing w:after="0"/>
              <w:rPr>
                <w:sz w:val="20"/>
                <w:szCs w:val="20"/>
                <w:color w:val="auto"/>
              </w:rPr>
            </w:pPr>
            <w:r>
              <w:rPr>
                <w:rFonts w:ascii="Arial" w:cs="Arial" w:eastAsia="Arial" w:hAnsi="Arial"/>
                <w:sz w:val="17"/>
                <w:szCs w:val="17"/>
                <w:b w:val="1"/>
                <w:bCs w:val="1"/>
                <w:color w:val="auto"/>
                <w:w w:val="99"/>
              </w:rPr>
              <w:t>30-0168701</w:t>
            </w:r>
          </w:p>
        </w:tc>
      </w:tr>
      <w:tr>
        <w:trPr>
          <w:trHeight w:val="224"/>
        </w:trPr>
        <w:tc>
          <w:tcPr>
            <w:tcW w:w="6500" w:type="dxa"/>
            <w:vAlign w:val="bottom"/>
            <w:gridSpan w:val="6"/>
          </w:tcPr>
          <w:p>
            <w:pPr>
              <w:jc w:val="center"/>
              <w:ind w:right="1240"/>
              <w:spacing w:after="0"/>
              <w:rPr>
                <w:sz w:val="20"/>
                <w:szCs w:val="20"/>
                <w:color w:val="auto"/>
              </w:rPr>
            </w:pPr>
            <w:r>
              <w:rPr>
                <w:rFonts w:ascii="Arial" w:cs="Arial" w:eastAsia="Arial" w:hAnsi="Arial"/>
                <w:sz w:val="14"/>
                <w:szCs w:val="14"/>
                <w:i w:val="1"/>
                <w:iCs w:val="1"/>
                <w:color w:val="auto"/>
              </w:rPr>
              <w:t>(State or Other Jurisdiction of Incorporation or Organization)</w:t>
            </w:r>
          </w:p>
        </w:tc>
        <w:tc>
          <w:tcPr>
            <w:tcW w:w="3760" w:type="dxa"/>
            <w:vAlign w:val="bottom"/>
          </w:tcPr>
          <w:p>
            <w:pPr>
              <w:jc w:val="center"/>
              <w:ind w:right="459"/>
              <w:spacing w:after="0"/>
              <w:rPr>
                <w:sz w:val="20"/>
                <w:szCs w:val="20"/>
                <w:color w:val="auto"/>
              </w:rPr>
            </w:pPr>
            <w:r>
              <w:rPr>
                <w:rFonts w:ascii="Arial" w:cs="Arial" w:eastAsia="Arial" w:hAnsi="Arial"/>
                <w:sz w:val="14"/>
                <w:szCs w:val="14"/>
                <w:i w:val="1"/>
                <w:iCs w:val="1"/>
                <w:color w:val="auto"/>
              </w:rPr>
              <w:t>(IRS Employer Identification No.)</w:t>
            </w:r>
          </w:p>
        </w:tc>
      </w:tr>
      <w:tr>
        <w:trPr>
          <w:trHeight w:val="230"/>
        </w:trPr>
        <w:tc>
          <w:tcPr>
            <w:tcW w:w="840" w:type="dxa"/>
            <w:vAlign w:val="bottom"/>
          </w:tcPr>
          <w:p>
            <w:pPr>
              <w:spacing w:after="0"/>
              <w:rPr>
                <w:sz w:val="19"/>
                <w:szCs w:val="19"/>
                <w:color w:val="auto"/>
              </w:rPr>
            </w:pPr>
          </w:p>
        </w:tc>
        <w:tc>
          <w:tcPr>
            <w:tcW w:w="5660" w:type="dxa"/>
            <w:vAlign w:val="bottom"/>
            <w:gridSpan w:val="5"/>
          </w:tcPr>
          <w:p>
            <w:pPr>
              <w:jc w:val="center"/>
              <w:ind w:right="2060"/>
              <w:spacing w:after="0"/>
              <w:rPr>
                <w:sz w:val="20"/>
                <w:szCs w:val="20"/>
                <w:color w:val="auto"/>
              </w:rPr>
            </w:pPr>
            <w:r>
              <w:rPr>
                <w:rFonts w:ascii="Arial" w:cs="Arial" w:eastAsia="Arial" w:hAnsi="Arial"/>
                <w:sz w:val="17"/>
                <w:szCs w:val="17"/>
                <w:b w:val="1"/>
                <w:bCs w:val="1"/>
                <w:color w:val="auto"/>
              </w:rPr>
              <w:t>350 North 5th Street, Suite 1000</w:t>
            </w:r>
          </w:p>
        </w:tc>
        <w:tc>
          <w:tcPr>
            <w:tcW w:w="3760" w:type="dxa"/>
            <w:vAlign w:val="bottom"/>
          </w:tcPr>
          <w:p>
            <w:pPr>
              <w:spacing w:after="0"/>
              <w:rPr>
                <w:sz w:val="19"/>
                <w:szCs w:val="19"/>
                <w:color w:val="auto"/>
              </w:rPr>
            </w:pPr>
          </w:p>
        </w:tc>
      </w:tr>
      <w:tr>
        <w:trPr>
          <w:trHeight w:val="235"/>
        </w:trPr>
        <w:tc>
          <w:tcPr>
            <w:tcW w:w="840" w:type="dxa"/>
            <w:vAlign w:val="bottom"/>
          </w:tcPr>
          <w:p>
            <w:pPr>
              <w:spacing w:after="0"/>
              <w:rPr>
                <w:sz w:val="20"/>
                <w:szCs w:val="20"/>
                <w:color w:val="auto"/>
              </w:rPr>
            </w:pPr>
          </w:p>
        </w:tc>
        <w:tc>
          <w:tcPr>
            <w:tcW w:w="5660" w:type="dxa"/>
            <w:vAlign w:val="bottom"/>
            <w:gridSpan w:val="5"/>
          </w:tcPr>
          <w:p>
            <w:pPr>
              <w:jc w:val="center"/>
              <w:ind w:right="2080"/>
              <w:spacing w:after="0"/>
              <w:rPr>
                <w:sz w:val="20"/>
                <w:szCs w:val="20"/>
                <w:color w:val="auto"/>
              </w:rPr>
            </w:pPr>
            <w:r>
              <w:rPr>
                <w:rFonts w:ascii="Arial" w:cs="Arial" w:eastAsia="Arial" w:hAnsi="Arial"/>
                <w:sz w:val="17"/>
                <w:szCs w:val="17"/>
                <w:b w:val="1"/>
                <w:bCs w:val="1"/>
                <w:color w:val="auto"/>
              </w:rPr>
              <w:t>Minneapolis, Minnesota</w:t>
            </w:r>
          </w:p>
        </w:tc>
        <w:tc>
          <w:tcPr>
            <w:tcW w:w="3760" w:type="dxa"/>
            <w:vAlign w:val="bottom"/>
          </w:tcPr>
          <w:p>
            <w:pPr>
              <w:jc w:val="center"/>
              <w:ind w:right="459"/>
              <w:spacing w:after="0"/>
              <w:rPr>
                <w:sz w:val="20"/>
                <w:szCs w:val="20"/>
                <w:color w:val="auto"/>
              </w:rPr>
            </w:pPr>
            <w:r>
              <w:rPr>
                <w:rFonts w:ascii="Arial" w:cs="Arial" w:eastAsia="Arial" w:hAnsi="Arial"/>
                <w:sz w:val="17"/>
                <w:szCs w:val="17"/>
                <w:b w:val="1"/>
                <w:bCs w:val="1"/>
                <w:color w:val="auto"/>
                <w:w w:val="99"/>
              </w:rPr>
              <w:t>55401-5711</w:t>
            </w:r>
          </w:p>
        </w:tc>
      </w:tr>
      <w:tr>
        <w:trPr>
          <w:trHeight w:val="224"/>
        </w:trPr>
        <w:tc>
          <w:tcPr>
            <w:tcW w:w="840" w:type="dxa"/>
            <w:vAlign w:val="bottom"/>
          </w:tcPr>
          <w:p>
            <w:pPr>
              <w:spacing w:after="0"/>
              <w:rPr>
                <w:sz w:val="19"/>
                <w:szCs w:val="19"/>
                <w:color w:val="auto"/>
              </w:rPr>
            </w:pPr>
          </w:p>
        </w:tc>
        <w:tc>
          <w:tcPr>
            <w:tcW w:w="5660" w:type="dxa"/>
            <w:vAlign w:val="bottom"/>
            <w:gridSpan w:val="5"/>
          </w:tcPr>
          <w:p>
            <w:pPr>
              <w:jc w:val="center"/>
              <w:ind w:right="2080"/>
              <w:spacing w:after="0"/>
              <w:rPr>
                <w:sz w:val="20"/>
                <w:szCs w:val="20"/>
                <w:color w:val="auto"/>
              </w:rPr>
            </w:pPr>
            <w:r>
              <w:rPr>
                <w:rFonts w:ascii="Arial" w:cs="Arial" w:eastAsia="Arial" w:hAnsi="Arial"/>
                <w:sz w:val="14"/>
                <w:szCs w:val="14"/>
                <w:i w:val="1"/>
                <w:iCs w:val="1"/>
                <w:color w:val="auto"/>
              </w:rPr>
              <w:t>(Address of Principal Executive Offices)</w:t>
            </w:r>
          </w:p>
        </w:tc>
        <w:tc>
          <w:tcPr>
            <w:tcW w:w="3760" w:type="dxa"/>
            <w:vAlign w:val="bottom"/>
          </w:tcPr>
          <w:p>
            <w:pPr>
              <w:jc w:val="center"/>
              <w:ind w:right="479"/>
              <w:spacing w:after="0"/>
              <w:rPr>
                <w:sz w:val="20"/>
                <w:szCs w:val="20"/>
                <w:color w:val="auto"/>
              </w:rPr>
            </w:pPr>
            <w:r>
              <w:rPr>
                <w:rFonts w:ascii="Arial" w:cs="Arial" w:eastAsia="Arial" w:hAnsi="Arial"/>
                <w:sz w:val="14"/>
                <w:szCs w:val="14"/>
                <w:i w:val="1"/>
                <w:iCs w:val="1"/>
                <w:color w:val="auto"/>
              </w:rPr>
              <w:t>(Zip Code)</w:t>
            </w:r>
          </w:p>
        </w:tc>
      </w:tr>
      <w:tr>
        <w:trPr>
          <w:trHeight w:val="235"/>
        </w:trPr>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180" w:type="dxa"/>
            <w:vAlign w:val="bottom"/>
            <w:gridSpan w:val="3"/>
          </w:tcPr>
          <w:p>
            <w:pPr>
              <w:jc w:val="right"/>
              <w:ind w:right="700"/>
              <w:spacing w:after="0"/>
              <w:rPr>
                <w:sz w:val="20"/>
                <w:szCs w:val="20"/>
                <w:color w:val="auto"/>
              </w:rPr>
            </w:pPr>
            <w:r>
              <w:rPr>
                <w:rFonts w:ascii="Arial" w:cs="Arial" w:eastAsia="Arial" w:hAnsi="Arial"/>
                <w:sz w:val="17"/>
                <w:szCs w:val="17"/>
                <w:b w:val="1"/>
                <w:bCs w:val="1"/>
                <w:color w:val="auto"/>
              </w:rPr>
              <w:t>(612) 303-6000</w:t>
            </w:r>
          </w:p>
        </w:tc>
        <w:tc>
          <w:tcPr>
            <w:tcW w:w="3760" w:type="dxa"/>
            <w:vAlign w:val="bottom"/>
          </w:tcPr>
          <w:p>
            <w:pPr>
              <w:spacing w:after="0"/>
              <w:rPr>
                <w:sz w:val="20"/>
                <w:szCs w:val="20"/>
                <w:color w:val="auto"/>
              </w:rPr>
            </w:pPr>
          </w:p>
        </w:tc>
      </w:tr>
      <w:tr>
        <w:trPr>
          <w:trHeight w:val="198"/>
        </w:trPr>
        <w:tc>
          <w:tcPr>
            <w:tcW w:w="8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940" w:type="dxa"/>
            <w:vAlign w:val="bottom"/>
            <w:gridSpan w:val="4"/>
          </w:tcPr>
          <w:p>
            <w:pPr>
              <w:jc w:val="center"/>
              <w:ind w:right="3179"/>
              <w:spacing w:after="0"/>
              <w:rPr>
                <w:sz w:val="20"/>
                <w:szCs w:val="20"/>
                <w:color w:val="auto"/>
              </w:rPr>
            </w:pPr>
            <w:r>
              <w:rPr>
                <w:rFonts w:ascii="Arial" w:cs="Arial" w:eastAsia="Arial" w:hAnsi="Arial"/>
                <w:sz w:val="14"/>
                <w:szCs w:val="14"/>
                <w:i w:val="1"/>
                <w:iCs w:val="1"/>
                <w:color w:val="auto"/>
              </w:rPr>
              <w:t>(Registrant's Telephone Number, Including Area Code)</w:t>
            </w:r>
          </w:p>
        </w:tc>
      </w:tr>
      <w:tr>
        <w:trPr>
          <w:trHeight w:val="350"/>
        </w:trPr>
        <w:tc>
          <w:tcPr>
            <w:tcW w:w="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900" w:type="dxa"/>
            <w:vAlign w:val="bottom"/>
            <w:gridSpan w:val="5"/>
          </w:tcPr>
          <w:p>
            <w:pPr>
              <w:jc w:val="center"/>
              <w:ind w:right="2219"/>
              <w:spacing w:after="0"/>
              <w:rPr>
                <w:sz w:val="20"/>
                <w:szCs w:val="20"/>
                <w:color w:val="auto"/>
              </w:rPr>
            </w:pPr>
            <w:r>
              <w:rPr>
                <w:rFonts w:ascii="Arial" w:cs="Arial" w:eastAsia="Arial" w:hAnsi="Arial"/>
                <w:sz w:val="17"/>
                <w:szCs w:val="17"/>
                <w:b w:val="1"/>
                <w:bCs w:val="1"/>
                <w:color w:val="auto"/>
              </w:rPr>
              <w:t>Securities registered pursuant to Section 12(b) of the Act:</w:t>
            </w:r>
          </w:p>
        </w:tc>
      </w:tr>
      <w:tr>
        <w:trPr>
          <w:trHeight w:val="184"/>
        </w:trPr>
        <w:tc>
          <w:tcPr>
            <w:tcW w:w="840" w:type="dxa"/>
            <w:vAlign w:val="bottom"/>
          </w:tcPr>
          <w:p>
            <w:pPr>
              <w:spacing w:after="0"/>
              <w:rPr>
                <w:sz w:val="16"/>
                <w:szCs w:val="16"/>
                <w:color w:val="auto"/>
              </w:rPr>
            </w:pPr>
          </w:p>
        </w:tc>
        <w:tc>
          <w:tcPr>
            <w:tcW w:w="152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rPr>
              <w:t>Title of Each Class</w:t>
            </w: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40" w:type="dxa"/>
            <w:vAlign w:val="bottom"/>
            <w:gridSpan w:val="2"/>
          </w:tcPr>
          <w:p>
            <w:pPr>
              <w:jc w:val="center"/>
              <w:ind w:right="1360"/>
              <w:spacing w:after="0" w:line="185" w:lineRule="exact"/>
              <w:rPr>
                <w:sz w:val="20"/>
                <w:szCs w:val="20"/>
                <w:color w:val="auto"/>
              </w:rPr>
            </w:pPr>
            <w:r>
              <w:rPr>
                <w:rFonts w:ascii="Arial" w:cs="Arial" w:eastAsia="Arial" w:hAnsi="Arial"/>
                <w:sz w:val="17"/>
                <w:szCs w:val="17"/>
                <w:b w:val="1"/>
                <w:bCs w:val="1"/>
                <w:color w:val="auto"/>
                <w:w w:val="99"/>
              </w:rPr>
              <w:t>Trading Symbol</w:t>
            </w:r>
          </w:p>
        </w:tc>
        <w:tc>
          <w:tcPr>
            <w:tcW w:w="3760" w:type="dxa"/>
            <w:vAlign w:val="bottom"/>
          </w:tcPr>
          <w:p>
            <w:pPr>
              <w:jc w:val="center"/>
              <w:spacing w:after="0" w:line="185" w:lineRule="exact"/>
              <w:rPr>
                <w:sz w:val="20"/>
                <w:szCs w:val="20"/>
                <w:color w:val="auto"/>
              </w:rPr>
            </w:pPr>
            <w:r>
              <w:rPr>
                <w:rFonts w:ascii="Arial" w:cs="Arial" w:eastAsia="Arial" w:hAnsi="Arial"/>
                <w:sz w:val="17"/>
                <w:szCs w:val="17"/>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60" w:type="dxa"/>
            <w:vAlign w:val="bottom"/>
            <w:shd w:val="clear" w:color="auto" w:fill="000000"/>
          </w:tcPr>
          <w:p>
            <w:pPr>
              <w:spacing w:after="0" w:line="20" w:lineRule="exact"/>
              <w:rPr>
                <w:sz w:val="1"/>
                <w:szCs w:val="1"/>
                <w:color w:val="auto"/>
              </w:rPr>
            </w:pPr>
          </w:p>
        </w:tc>
      </w:tr>
      <w:tr>
        <w:trPr>
          <w:trHeight w:val="250"/>
        </w:trPr>
        <w:tc>
          <w:tcPr>
            <w:tcW w:w="3320" w:type="dxa"/>
            <w:vAlign w:val="bottom"/>
            <w:gridSpan w:val="3"/>
          </w:tcPr>
          <w:p>
            <w:pPr>
              <w:jc w:val="center"/>
              <w:ind w:right="35"/>
              <w:spacing w:after="0"/>
              <w:rPr>
                <w:sz w:val="20"/>
                <w:szCs w:val="20"/>
                <w:color w:val="auto"/>
              </w:rPr>
            </w:pPr>
            <w:r>
              <w:rPr>
                <w:rFonts w:ascii="Arial" w:cs="Arial" w:eastAsia="Arial" w:hAnsi="Arial"/>
                <w:sz w:val="17"/>
                <w:szCs w:val="17"/>
                <w:color w:val="auto"/>
              </w:rPr>
              <w:t>Common Stock, par value $0.01 per share</w:t>
            </w:r>
          </w:p>
        </w:tc>
        <w:tc>
          <w:tcPr>
            <w:tcW w:w="540" w:type="dxa"/>
            <w:vAlign w:val="bottom"/>
          </w:tcPr>
          <w:p>
            <w:pPr>
              <w:spacing w:after="0"/>
              <w:rPr>
                <w:sz w:val="21"/>
                <w:szCs w:val="21"/>
                <w:color w:val="auto"/>
              </w:rPr>
            </w:pPr>
          </w:p>
        </w:tc>
        <w:tc>
          <w:tcPr>
            <w:tcW w:w="2640" w:type="dxa"/>
            <w:vAlign w:val="bottom"/>
            <w:gridSpan w:val="2"/>
          </w:tcPr>
          <w:p>
            <w:pPr>
              <w:jc w:val="center"/>
              <w:ind w:right="1360"/>
              <w:spacing w:after="0"/>
              <w:rPr>
                <w:sz w:val="20"/>
                <w:szCs w:val="20"/>
                <w:color w:val="auto"/>
              </w:rPr>
            </w:pPr>
            <w:r>
              <w:rPr>
                <w:rFonts w:ascii="Arial" w:cs="Arial" w:eastAsia="Arial" w:hAnsi="Arial"/>
                <w:sz w:val="17"/>
                <w:szCs w:val="17"/>
                <w:color w:val="auto"/>
              </w:rPr>
              <w:t>PIPR</w:t>
            </w:r>
          </w:p>
        </w:tc>
        <w:tc>
          <w:tcPr>
            <w:tcW w:w="3760" w:type="dxa"/>
            <w:vAlign w:val="bottom"/>
          </w:tcPr>
          <w:p>
            <w:pPr>
              <w:jc w:val="center"/>
              <w:spacing w:after="0"/>
              <w:rPr>
                <w:sz w:val="20"/>
                <w:szCs w:val="20"/>
                <w:color w:val="auto"/>
              </w:rPr>
            </w:pPr>
            <w:r>
              <w:rPr>
                <w:rFonts w:ascii="Arial" w:cs="Arial" w:eastAsia="Arial" w:hAnsi="Arial"/>
                <w:sz w:val="17"/>
                <w:szCs w:val="17"/>
                <w:color w:val="auto"/>
                <w:w w:val="99"/>
              </w:rPr>
              <w:t>The New York Stock Exchange</w:t>
            </w:r>
          </w:p>
        </w:tc>
      </w:tr>
    </w:tbl>
    <w:p>
      <w:pPr>
        <w:spacing w:after="0" w:line="221" w:lineRule="exact"/>
        <w:rPr>
          <w:sz w:val="24"/>
          <w:szCs w:val="24"/>
          <w:color w:val="auto"/>
        </w:rPr>
      </w:pPr>
    </w:p>
    <w:p>
      <w:pPr>
        <w:jc w:val="both"/>
        <w:spacing w:after="0" w:line="200"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6" w:lineRule="exact"/>
        <w:rPr>
          <w:sz w:val="24"/>
          <w:szCs w:val="24"/>
          <w:color w:val="auto"/>
        </w:rPr>
      </w:pPr>
    </w:p>
    <w:p>
      <w:pPr>
        <w:jc w:val="both"/>
        <w:spacing w:after="0" w:line="20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6" w:lineRule="exact"/>
        <w:rPr>
          <w:sz w:val="24"/>
          <w:szCs w:val="24"/>
          <w:color w:val="auto"/>
        </w:rPr>
      </w:pPr>
    </w:p>
    <w:p>
      <w:pPr>
        <w:jc w:val="both"/>
        <w:spacing w:after="0" w:line="23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2280" w:type="dxa"/>
        <w:tblCellMar>
          <w:top w:w="0" w:type="dxa"/>
          <w:left w:w="0" w:type="dxa"/>
          <w:bottom w:w="0" w:type="dxa"/>
          <w:right w:w="0" w:type="dxa"/>
        </w:tblCellMar>
      </w:tblPr>
      <w:tr>
        <w:trPr>
          <w:trHeight w:val="297"/>
        </w:trPr>
        <w:tc>
          <w:tcPr>
            <w:tcW w:w="20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84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2900" w:type="dxa"/>
            <w:vAlign w:val="bottom"/>
          </w:tcPr>
          <w:p>
            <w:pPr>
              <w:ind w:left="320"/>
              <w:spacing w:after="0"/>
              <w:rPr>
                <w:sz w:val="20"/>
                <w:szCs w:val="20"/>
                <w:color w:val="auto"/>
              </w:rPr>
            </w:pPr>
            <w:r>
              <w:rPr>
                <w:rFonts w:ascii="Arial" w:cs="Arial" w:eastAsia="Arial" w:hAnsi="Arial"/>
                <w:sz w:val="17"/>
                <w:szCs w:val="17"/>
                <w:color w:val="auto"/>
              </w:rPr>
              <w:t>Accelerated filer</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4"/>
        </w:trPr>
        <w:tc>
          <w:tcPr>
            <w:tcW w:w="2060" w:type="dxa"/>
            <w:vAlign w:val="bottom"/>
          </w:tcPr>
          <w:p>
            <w:pPr>
              <w:spacing w:after="0"/>
              <w:rPr>
                <w:sz w:val="20"/>
                <w:szCs w:val="20"/>
                <w:color w:val="auto"/>
              </w:rPr>
            </w:pPr>
            <w:r>
              <w:rPr>
                <w:rFonts w:ascii="Arial" w:cs="Arial" w:eastAsia="Arial" w:hAnsi="Arial"/>
                <w:sz w:val="17"/>
                <w:szCs w:val="17"/>
                <w:color w:val="auto"/>
              </w:rPr>
              <w:t>Non-accelerated filer</w:t>
            </w:r>
          </w:p>
        </w:tc>
        <w:tc>
          <w:tcPr>
            <w:tcW w:w="840" w:type="dxa"/>
            <w:vAlign w:val="bottom"/>
          </w:tcPr>
          <w:p>
            <w:pPr>
              <w:ind w:left="380"/>
              <w:spacing w:after="0" w:line="171" w:lineRule="exact"/>
              <w:rPr>
                <w:sz w:val="20"/>
                <w:szCs w:val="20"/>
                <w:color w:val="auto"/>
              </w:rPr>
            </w:pPr>
            <w:r>
              <w:rPr>
                <w:rFonts w:ascii="MS PGothic" w:cs="MS PGothic" w:eastAsia="MS PGothic" w:hAnsi="MS PGothic"/>
                <w:sz w:val="17"/>
                <w:szCs w:val="17"/>
                <w:color w:val="auto"/>
              </w:rPr>
              <w:t>☐</w:t>
            </w:r>
          </w:p>
        </w:tc>
        <w:tc>
          <w:tcPr>
            <w:tcW w:w="2900" w:type="dxa"/>
            <w:vAlign w:val="bottom"/>
          </w:tcPr>
          <w:p>
            <w:pPr>
              <w:ind w:left="320"/>
              <w:spacing w:after="0"/>
              <w:rPr>
                <w:sz w:val="20"/>
                <w:szCs w:val="20"/>
                <w:color w:val="auto"/>
              </w:rPr>
            </w:pPr>
            <w:r>
              <w:rPr>
                <w:rFonts w:ascii="Arial" w:cs="Arial" w:eastAsia="Arial" w:hAnsi="Arial"/>
                <w:sz w:val="17"/>
                <w:szCs w:val="17"/>
                <w:color w:val="auto"/>
              </w:rPr>
              <w:t>Smaller reporting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97"/>
        </w:trPr>
        <w:tc>
          <w:tcPr>
            <w:tcW w:w="20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00" w:type="dxa"/>
            <w:vAlign w:val="bottom"/>
          </w:tcPr>
          <w:p>
            <w:pPr>
              <w:ind w:left="320"/>
              <w:spacing w:after="0"/>
              <w:rPr>
                <w:sz w:val="20"/>
                <w:szCs w:val="20"/>
                <w:color w:val="auto"/>
              </w:rPr>
            </w:pPr>
            <w:r>
              <w:rPr>
                <w:rFonts w:ascii="Arial" w:cs="Arial" w:eastAsia="Arial" w:hAnsi="Arial"/>
                <w:sz w:val="17"/>
                <w:szCs w:val="17"/>
                <w:color w:val="auto"/>
              </w:rPr>
              <w:t>Emerging growth company</w:t>
            </w:r>
          </w:p>
        </w:tc>
        <w:tc>
          <w:tcPr>
            <w:tcW w:w="680" w:type="dxa"/>
            <w:vAlign w:val="bottom"/>
          </w:tcPr>
          <w:p>
            <w:pPr>
              <w:ind w:left="5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24" w:lineRule="exact"/>
        <w:rPr>
          <w:sz w:val="24"/>
          <w:szCs w:val="24"/>
          <w:color w:val="auto"/>
        </w:rPr>
      </w:pPr>
    </w:p>
    <w:p>
      <w:pPr>
        <w:spacing w:after="0" w:line="212"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9" w:lineRule="exact"/>
        <w:rPr>
          <w:sz w:val="24"/>
          <w:szCs w:val="24"/>
          <w:color w:val="auto"/>
        </w:rPr>
      </w:pPr>
    </w:p>
    <w:p>
      <w:pPr>
        <w:spacing w:after="0" w:line="242"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21"/>
          <w:szCs w:val="21"/>
          <w:color w:val="auto"/>
        </w:rPr>
        <w:t>☐</w:t>
      </w:r>
      <w:r>
        <w:rPr>
          <w:rFonts w:ascii="Arial" w:cs="Arial" w:eastAsia="Arial" w:hAnsi="Arial"/>
          <w:sz w:val="17"/>
          <w:szCs w:val="17"/>
          <w:color w:val="auto"/>
        </w:rPr>
        <w:t xml:space="preserve"> No </w:t>
      </w:r>
      <w:r>
        <w:rPr>
          <w:rFonts w:ascii="MS PGothic" w:cs="MS PGothic" w:eastAsia="MS PGothic" w:hAnsi="MS PGothic"/>
          <w:sz w:val="21"/>
          <w:szCs w:val="21"/>
          <w:color w:val="auto"/>
        </w:rPr>
        <w:t>☑</w:t>
      </w:r>
    </w:p>
    <w:p>
      <w:pPr>
        <w:spacing w:after="0" w:line="114" w:lineRule="exact"/>
        <w:rPr>
          <w:sz w:val="24"/>
          <w:szCs w:val="24"/>
          <w:color w:val="auto"/>
        </w:rPr>
      </w:pPr>
    </w:p>
    <w:p>
      <w:pPr>
        <w:spacing w:after="0"/>
        <w:rPr>
          <w:sz w:val="20"/>
          <w:szCs w:val="20"/>
          <w:color w:val="auto"/>
        </w:rPr>
      </w:pPr>
      <w:r>
        <w:rPr>
          <w:rFonts w:ascii="Arial" w:cs="Arial" w:eastAsia="Arial" w:hAnsi="Arial"/>
          <w:sz w:val="17"/>
          <w:szCs w:val="17"/>
          <w:color w:val="auto"/>
        </w:rPr>
        <w:t>As of April 30, 2026, the registrant had 71,043,945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803275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47"/>
          <w:szCs w:val="47"/>
          <w:b w:val="1"/>
          <w:bCs w:val="1"/>
          <w:color w:val="auto"/>
        </w:rPr>
        <w:t>Table of Contents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1060" w:type="dxa"/>
            <w:vAlign w:val="bottom"/>
            <w:gridSpan w:val="2"/>
          </w:tcPr>
          <w:p>
            <w:pPr>
              <w:spacing w:after="0"/>
              <w:rPr>
                <w:sz w:val="20"/>
                <w:szCs w:val="20"/>
                <w:color w:val="auto"/>
              </w:rPr>
            </w:pPr>
            <w:r>
              <w:rPr>
                <w:rFonts w:ascii="Times New Roman" w:cs="Times New Roman" w:eastAsia="Times New Roman" w:hAnsi="Times New Roman"/>
                <w:sz w:val="32"/>
                <w:szCs w:val="32"/>
                <w:b w:val="1"/>
                <w:bCs w:val="1"/>
                <w:color w:val="auto"/>
              </w:rPr>
              <w:t>Part I.</w:t>
            </w:r>
          </w:p>
        </w:tc>
        <w:tc>
          <w:tcPr>
            <w:tcW w:w="8600" w:type="dxa"/>
            <w:vAlign w:val="bottom"/>
          </w:tcPr>
          <w:p>
            <w:pPr>
              <w:ind w:left="180"/>
              <w:spacing w:after="0"/>
              <w:rPr>
                <w:sz w:val="20"/>
                <w:szCs w:val="20"/>
                <w:color w:val="auto"/>
              </w:rPr>
            </w:pPr>
            <w:r>
              <w:rPr>
                <w:rFonts w:ascii="Times New Roman" w:cs="Times New Roman" w:eastAsia="Times New Roman" w:hAnsi="Times New Roman"/>
                <w:sz w:val="32"/>
                <w:szCs w:val="32"/>
                <w:b w:val="1"/>
                <w:bCs w:val="1"/>
                <w:color w:val="auto"/>
              </w:rPr>
              <w:t>Financial Information</w:t>
            </w:r>
          </w:p>
        </w:tc>
        <w:tc>
          <w:tcPr>
            <w:tcW w:w="1560" w:type="dxa"/>
            <w:vAlign w:val="bottom"/>
          </w:tcPr>
          <w:p>
            <w:pPr>
              <w:spacing w:after="0"/>
              <w:rPr>
                <w:sz w:val="24"/>
                <w:szCs w:val="24"/>
                <w:color w:val="auto"/>
              </w:rPr>
            </w:pPr>
          </w:p>
        </w:tc>
      </w:tr>
      <w:tr>
        <w:trPr>
          <w:trHeight w:val="400"/>
        </w:trPr>
        <w:tc>
          <w:tcPr>
            <w:tcW w:w="40" w:type="dxa"/>
            <w:vAlign w:val="bottom"/>
          </w:tcPr>
          <w:p>
            <w:pPr>
              <w:spacing w:after="0"/>
              <w:rPr>
                <w:sz w:val="24"/>
                <w:szCs w:val="24"/>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3F97B5"/>
              </w:rPr>
              <w:t>Item 1.</w:t>
            </w:r>
          </w:p>
        </w:tc>
        <w:tc>
          <w:tcPr>
            <w:tcW w:w="860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Financial Statements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25"/>
        </w:trPr>
        <w:tc>
          <w:tcPr>
            <w:tcW w:w="40" w:type="dxa"/>
            <w:vAlign w:val="bottom"/>
          </w:tcPr>
          <w:p>
            <w:pPr>
              <w:spacing w:after="0"/>
              <w:rPr>
                <w:sz w:val="19"/>
                <w:szCs w:val="19"/>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3F97B5"/>
              </w:rPr>
              <w:t>Item 2.</w:t>
            </w:r>
          </w:p>
        </w:tc>
        <w:tc>
          <w:tcPr>
            <w:tcW w:w="860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w:t>
            </w:r>
          </w:p>
        </w:tc>
      </w:tr>
      <w:tr>
        <w:trPr>
          <w:trHeight w:val="223"/>
        </w:trPr>
        <w:tc>
          <w:tcPr>
            <w:tcW w:w="40" w:type="dxa"/>
            <w:vAlign w:val="bottom"/>
          </w:tcPr>
          <w:p>
            <w:pPr>
              <w:spacing w:after="0"/>
              <w:rPr>
                <w:sz w:val="19"/>
                <w:szCs w:val="19"/>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3F97B5"/>
              </w:rPr>
              <w:t>Item 3.</w:t>
            </w:r>
          </w:p>
        </w:tc>
        <w:tc>
          <w:tcPr>
            <w:tcW w:w="8600" w:type="dxa"/>
            <w:vAlign w:val="bottom"/>
            <w:tcBorders>
              <w:bottom w:val="single" w:sz="8" w:color="auto"/>
            </w:tcBorders>
          </w:tcPr>
          <w:p>
            <w:pPr>
              <w:ind w:left="540"/>
              <w:spacing w:after="0"/>
              <w:rPr>
                <w:sz w:val="20"/>
                <w:szCs w:val="20"/>
                <w:color w:val="auto"/>
              </w:rPr>
            </w:pPr>
            <w:r>
              <w:rPr>
                <w:rFonts w:ascii="Arial" w:cs="Arial" w:eastAsia="Arial" w:hAnsi="Arial"/>
                <w:sz w:val="17"/>
                <w:szCs w:val="17"/>
                <w:color w:val="auto"/>
              </w:rPr>
              <w:t>Quantitative and Qualitative Disclosures About Market Risk</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r>
      <w:tr>
        <w:trPr>
          <w:trHeight w:val="228"/>
        </w:trPr>
        <w:tc>
          <w:tcPr>
            <w:tcW w:w="4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7"/>
                <w:szCs w:val="17"/>
                <w:b w:val="1"/>
                <w:bCs w:val="1"/>
                <w:color w:val="3F97B5"/>
              </w:rPr>
              <w:t>Item 4.</w:t>
            </w:r>
          </w:p>
        </w:tc>
        <w:tc>
          <w:tcPr>
            <w:tcW w:w="8600" w:type="dxa"/>
            <w:vAlign w:val="bottom"/>
          </w:tcPr>
          <w:p>
            <w:pPr>
              <w:ind w:left="540"/>
              <w:spacing w:after="0"/>
              <w:rPr>
                <w:sz w:val="20"/>
                <w:szCs w:val="20"/>
                <w:color w:val="auto"/>
              </w:rPr>
            </w:pPr>
            <w:r>
              <w:rPr>
                <w:rFonts w:ascii="Arial" w:cs="Arial" w:eastAsia="Arial" w:hAnsi="Arial"/>
                <w:sz w:val="17"/>
                <w:szCs w:val="17"/>
                <w:color w:val="auto"/>
              </w:rPr>
              <w:t>Controls and Procedures</w:t>
            </w:r>
          </w:p>
        </w:tc>
        <w:tc>
          <w:tcPr>
            <w:tcW w:w="1560" w:type="dxa"/>
            <w:vAlign w:val="bottom"/>
          </w:tcPr>
          <w:p>
            <w:pPr>
              <w:jc w:val="right"/>
              <w:spacing w:after="0"/>
              <w:rPr>
                <w:sz w:val="20"/>
                <w:szCs w:val="20"/>
                <w:color w:val="auto"/>
              </w:rPr>
            </w:pPr>
            <w:r>
              <w:rPr>
                <w:rFonts w:ascii="Arial" w:cs="Arial" w:eastAsia="Arial" w:hAnsi="Arial"/>
                <w:sz w:val="17"/>
                <w:szCs w:val="17"/>
                <w:color w:val="auto"/>
              </w:rPr>
              <w:t>57</w:t>
            </w:r>
          </w:p>
        </w:tc>
      </w:tr>
    </w:tbl>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429"/>
        </w:trPr>
        <w:tc>
          <w:tcPr>
            <w:tcW w:w="1200" w:type="dxa"/>
            <w:vAlign w:val="bottom"/>
            <w:gridSpan w:val="2"/>
          </w:tcPr>
          <w:p>
            <w:pPr>
              <w:spacing w:after="0"/>
              <w:rPr>
                <w:sz w:val="20"/>
                <w:szCs w:val="20"/>
                <w:color w:val="auto"/>
              </w:rPr>
            </w:pPr>
            <w:r>
              <w:rPr>
                <w:rFonts w:ascii="Times New Roman" w:cs="Times New Roman" w:eastAsia="Times New Roman" w:hAnsi="Times New Roman"/>
                <w:sz w:val="32"/>
                <w:szCs w:val="32"/>
                <w:b w:val="1"/>
                <w:bCs w:val="1"/>
                <w:color w:val="auto"/>
              </w:rPr>
              <w:t>Part II.</w:t>
            </w:r>
          </w:p>
        </w:tc>
        <w:tc>
          <w:tcPr>
            <w:tcW w:w="7400" w:type="dxa"/>
            <w:vAlign w:val="bottom"/>
          </w:tcPr>
          <w:p>
            <w:pPr>
              <w:ind w:left="160"/>
              <w:spacing w:after="0"/>
              <w:rPr>
                <w:sz w:val="20"/>
                <w:szCs w:val="20"/>
                <w:color w:val="auto"/>
              </w:rPr>
            </w:pPr>
            <w:r>
              <w:rPr>
                <w:rFonts w:ascii="Times New Roman" w:cs="Times New Roman" w:eastAsia="Times New Roman" w:hAnsi="Times New Roman"/>
                <w:sz w:val="32"/>
                <w:szCs w:val="32"/>
                <w:b w:val="1"/>
                <w:bCs w:val="1"/>
                <w:color w:val="auto"/>
              </w:rPr>
              <w:t>Other Information</w:t>
            </w:r>
          </w:p>
        </w:tc>
        <w:tc>
          <w:tcPr>
            <w:tcW w:w="2580" w:type="dxa"/>
            <w:vAlign w:val="bottom"/>
          </w:tcPr>
          <w:p>
            <w:pPr>
              <w:spacing w:after="0"/>
              <w:rPr>
                <w:sz w:val="24"/>
                <w:szCs w:val="24"/>
                <w:color w:val="auto"/>
              </w:rPr>
            </w:pPr>
          </w:p>
        </w:tc>
      </w:tr>
      <w:tr>
        <w:trPr>
          <w:trHeight w:val="386"/>
        </w:trPr>
        <w:tc>
          <w:tcPr>
            <w:tcW w:w="60" w:type="dxa"/>
            <w:vAlign w:val="bottom"/>
          </w:tcPr>
          <w:p>
            <w:pPr>
              <w:spacing w:after="0"/>
              <w:rPr>
                <w:sz w:val="24"/>
                <w:szCs w:val="24"/>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3F97B5"/>
              </w:rPr>
              <w:t>Item 1.</w:t>
            </w:r>
          </w:p>
        </w:tc>
        <w:tc>
          <w:tcPr>
            <w:tcW w:w="74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Legal Proceedings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r>
      <w:tr>
        <w:trPr>
          <w:trHeight w:val="225"/>
        </w:trPr>
        <w:tc>
          <w:tcPr>
            <w:tcW w:w="60" w:type="dxa"/>
            <w:vAlign w:val="bottom"/>
          </w:tcPr>
          <w:p>
            <w:pPr>
              <w:spacing w:after="0"/>
              <w:rPr>
                <w:sz w:val="19"/>
                <w:szCs w:val="19"/>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3F97B5"/>
              </w:rPr>
              <w:t>Item 1A.</w:t>
            </w:r>
          </w:p>
        </w:tc>
        <w:tc>
          <w:tcPr>
            <w:tcW w:w="74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Risk Factors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w:t>
            </w:r>
          </w:p>
        </w:tc>
      </w:tr>
      <w:tr>
        <w:trPr>
          <w:trHeight w:val="223"/>
        </w:trPr>
        <w:tc>
          <w:tcPr>
            <w:tcW w:w="60" w:type="dxa"/>
            <w:vAlign w:val="bottom"/>
          </w:tcPr>
          <w:p>
            <w:pPr>
              <w:spacing w:after="0"/>
              <w:rPr>
                <w:sz w:val="19"/>
                <w:szCs w:val="19"/>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3F97B5"/>
              </w:rPr>
              <w:t>Item 2.</w:t>
            </w:r>
          </w:p>
        </w:tc>
        <w:tc>
          <w:tcPr>
            <w:tcW w:w="74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Unregistered Sales of Equity Securities and Use of Proceeds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23"/>
        </w:trPr>
        <w:tc>
          <w:tcPr>
            <w:tcW w:w="60" w:type="dxa"/>
            <w:vAlign w:val="bottom"/>
          </w:tcPr>
          <w:p>
            <w:pPr>
              <w:spacing w:after="0"/>
              <w:rPr>
                <w:sz w:val="19"/>
                <w:szCs w:val="19"/>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3F97B5"/>
              </w:rPr>
              <w:t>Item 3.</w:t>
            </w:r>
          </w:p>
        </w:tc>
        <w:tc>
          <w:tcPr>
            <w:tcW w:w="74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Defaults Upon Senior Securities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23"/>
        </w:trPr>
        <w:tc>
          <w:tcPr>
            <w:tcW w:w="60" w:type="dxa"/>
            <w:vAlign w:val="bottom"/>
          </w:tcPr>
          <w:p>
            <w:pPr>
              <w:spacing w:after="0"/>
              <w:rPr>
                <w:sz w:val="19"/>
                <w:szCs w:val="19"/>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3F97B5"/>
              </w:rPr>
              <w:t>Item 4.</w:t>
            </w:r>
          </w:p>
        </w:tc>
        <w:tc>
          <w:tcPr>
            <w:tcW w:w="74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Mine Safety Disclosures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23"/>
        </w:trPr>
        <w:tc>
          <w:tcPr>
            <w:tcW w:w="60" w:type="dxa"/>
            <w:vAlign w:val="bottom"/>
          </w:tcPr>
          <w:p>
            <w:pPr>
              <w:spacing w:after="0"/>
              <w:rPr>
                <w:sz w:val="19"/>
                <w:szCs w:val="19"/>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3F97B5"/>
              </w:rPr>
              <w:t>Item 5.</w:t>
            </w:r>
          </w:p>
        </w:tc>
        <w:tc>
          <w:tcPr>
            <w:tcW w:w="74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Other Information</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r>
      <w:tr>
        <w:trPr>
          <w:trHeight w:val="223"/>
        </w:trPr>
        <w:tc>
          <w:tcPr>
            <w:tcW w:w="60" w:type="dxa"/>
            <w:vAlign w:val="bottom"/>
          </w:tcPr>
          <w:p>
            <w:pPr>
              <w:spacing w:after="0"/>
              <w:rPr>
                <w:sz w:val="19"/>
                <w:szCs w:val="19"/>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3F97B5"/>
              </w:rPr>
              <w:t>Item 6.</w:t>
            </w:r>
          </w:p>
        </w:tc>
        <w:tc>
          <w:tcPr>
            <w:tcW w:w="740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Exhibits</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w:t>
            </w:r>
          </w:p>
        </w:tc>
      </w:tr>
      <w:tr>
        <w:trPr>
          <w:trHeight w:val="218"/>
        </w:trPr>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0" w:type="dxa"/>
            <w:vAlign w:val="bottom"/>
          </w:tcPr>
          <w:p>
            <w:pPr>
              <w:ind w:left="420"/>
              <w:spacing w:after="0"/>
              <w:rPr>
                <w:sz w:val="20"/>
                <w:szCs w:val="20"/>
                <w:color w:val="auto"/>
              </w:rPr>
            </w:pPr>
            <w:r>
              <w:rPr>
                <w:rFonts w:ascii="Arial" w:cs="Arial" w:eastAsia="Arial" w:hAnsi="Arial"/>
                <w:sz w:val="17"/>
                <w:szCs w:val="17"/>
                <w:color w:val="auto"/>
              </w:rPr>
              <w:t>Signatures</w:t>
            </w:r>
          </w:p>
        </w:tc>
        <w:tc>
          <w:tcPr>
            <w:tcW w:w="2580" w:type="dxa"/>
            <w:vAlign w:val="bottom"/>
          </w:tcPr>
          <w:p>
            <w:pPr>
              <w:jc w:val="right"/>
              <w:spacing w:after="0"/>
              <w:rPr>
                <w:sz w:val="20"/>
                <w:szCs w:val="20"/>
                <w:color w:val="auto"/>
              </w:rPr>
            </w:pPr>
            <w:r>
              <w:rPr>
                <w:rFonts w:ascii="Arial" w:cs="Arial" w:eastAsia="Arial" w:hAnsi="Arial"/>
                <w:sz w:val="17"/>
                <w:szCs w:val="17"/>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auto"/>
        </w:rPr>
        <w:t>Part I. Financial Information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b w:val="1"/>
          <w:bCs w:val="1"/>
          <w:color w:val="3F97B5"/>
        </w:rPr>
        <w:t>Item 1. Financial Statements.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THE CONSOLIDATED FINANCIAL STATEMENTS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3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Consolidated Statements of Financial Condition</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27"/>
        </w:trPr>
        <w:tc>
          <w:tcPr>
            <w:tcW w:w="93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Consolidated Statements of Operations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r>
      <w:tr>
        <w:trPr>
          <w:trHeight w:val="223"/>
        </w:trPr>
        <w:tc>
          <w:tcPr>
            <w:tcW w:w="93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Consolidated Statements of Comprehensive Income</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23"/>
        </w:trPr>
        <w:tc>
          <w:tcPr>
            <w:tcW w:w="93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Consolidated Statements of Changes in Shareholders' Equity</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23"/>
        </w:trPr>
        <w:tc>
          <w:tcPr>
            <w:tcW w:w="93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Consolidated Statements of Cash Flows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r>
        <w:trPr>
          <w:trHeight w:val="223"/>
        </w:trPr>
        <w:tc>
          <w:tcPr>
            <w:tcW w:w="93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Notes to the Consolidated Financial Statements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25"/>
        </w:trPr>
        <w:tc>
          <w:tcPr>
            <w:tcW w:w="134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3F97B5"/>
                <w:w w:val="99"/>
              </w:rPr>
              <w:t>Note 1</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Organization and Basis of Presentation</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23"/>
        </w:trPr>
        <w:tc>
          <w:tcPr>
            <w:tcW w:w="134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3F97B5"/>
                <w:w w:val="99"/>
              </w:rPr>
              <w:t>Note 2</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Summary of Significant Accounting Policies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134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3F97B5"/>
                <w:w w:val="99"/>
              </w:rPr>
              <w:t>Note 3</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Recent Accounting Pronouncements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134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3F97B5"/>
                <w:w w:val="99"/>
              </w:rPr>
              <w:t>Note 4</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Acquisitions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r>
      <w:tr>
        <w:trPr>
          <w:trHeight w:val="223"/>
        </w:trPr>
        <w:tc>
          <w:tcPr>
            <w:tcW w:w="134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3F97B5"/>
                <w:w w:val="99"/>
              </w:rPr>
              <w:t>Note 5</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Receivables from and Payables to Brokers, Dealers and Clearing Organizations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134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3F97B5"/>
                <w:w w:val="99"/>
              </w:rPr>
              <w:t>Note 6</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Fair Value of Financial Instruments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r>
      <w:tr>
        <w:trPr>
          <w:trHeight w:val="223"/>
        </w:trPr>
        <w:tc>
          <w:tcPr>
            <w:tcW w:w="134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3F97B5"/>
                <w:w w:val="99"/>
              </w:rPr>
              <w:t>Note 7</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Financial Instruments and Other Inventory Positions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r>
      <w:tr>
        <w:trPr>
          <w:trHeight w:val="223"/>
        </w:trPr>
        <w:tc>
          <w:tcPr>
            <w:tcW w:w="134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3F97B5"/>
                <w:w w:val="99"/>
              </w:rPr>
              <w:t>Note 8</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Investments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23"/>
        </w:trPr>
        <w:tc>
          <w:tcPr>
            <w:tcW w:w="134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3F97B5"/>
                <w:w w:val="99"/>
              </w:rPr>
              <w:t>Note 9</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Variable Interest Entities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r>
      <w:tr>
        <w:trPr>
          <w:trHeight w:val="223"/>
        </w:trPr>
        <w:tc>
          <w:tcPr>
            <w:tcW w:w="134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b w:val="1"/>
                <w:bCs w:val="1"/>
                <w:color w:val="3F97B5"/>
              </w:rPr>
              <w:t>Note 10</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Other Assets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134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3F97B5"/>
                <w:w w:val="97"/>
              </w:rPr>
              <w:t>Note 11</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Short-Term Financing</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134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b w:val="1"/>
                <w:bCs w:val="1"/>
                <w:color w:val="3F97B5"/>
              </w:rPr>
              <w:t>Note 12</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Legal Contingencies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134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b w:val="1"/>
                <w:bCs w:val="1"/>
                <w:color w:val="3F97B5"/>
              </w:rPr>
              <w:t>Note 13</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Shareholders' Equity</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r>
      <w:tr>
        <w:trPr>
          <w:trHeight w:val="223"/>
        </w:trPr>
        <w:tc>
          <w:tcPr>
            <w:tcW w:w="134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b w:val="1"/>
                <w:bCs w:val="1"/>
                <w:color w:val="3F97B5"/>
              </w:rPr>
              <w:t>Note 14</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Business Segment and Revenues Information</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w:t>
            </w:r>
          </w:p>
        </w:tc>
      </w:tr>
      <w:tr>
        <w:trPr>
          <w:trHeight w:val="223"/>
        </w:trPr>
        <w:tc>
          <w:tcPr>
            <w:tcW w:w="134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b w:val="1"/>
                <w:bCs w:val="1"/>
                <w:color w:val="3F97B5"/>
              </w:rPr>
              <w:t>Note 15</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Compensation Plans</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w:t>
            </w:r>
          </w:p>
        </w:tc>
      </w:tr>
      <w:tr>
        <w:trPr>
          <w:trHeight w:val="223"/>
        </w:trPr>
        <w:tc>
          <w:tcPr>
            <w:tcW w:w="134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b w:val="1"/>
                <w:bCs w:val="1"/>
                <w:color w:val="3F97B5"/>
              </w:rPr>
              <w:t>Note 16</w:t>
            </w:r>
          </w:p>
        </w:tc>
        <w:tc>
          <w:tcPr>
            <w:tcW w:w="798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Earnings Per Share</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r>
      <w:tr>
        <w:trPr>
          <w:trHeight w:val="228"/>
        </w:trPr>
        <w:tc>
          <w:tcPr>
            <w:tcW w:w="1340" w:type="dxa"/>
            <w:vAlign w:val="bottom"/>
          </w:tcPr>
          <w:p>
            <w:pPr>
              <w:jc w:val="center"/>
              <w:ind w:left="155"/>
              <w:spacing w:after="0"/>
              <w:rPr>
                <w:sz w:val="20"/>
                <w:szCs w:val="20"/>
                <w:color w:val="auto"/>
              </w:rPr>
            </w:pPr>
            <w:r>
              <w:rPr>
                <w:rFonts w:ascii="Arial" w:cs="Arial" w:eastAsia="Arial" w:hAnsi="Arial"/>
                <w:sz w:val="17"/>
                <w:szCs w:val="17"/>
                <w:b w:val="1"/>
                <w:bCs w:val="1"/>
                <w:color w:val="3F97B5"/>
              </w:rPr>
              <w:t>Note 17</w:t>
            </w:r>
          </w:p>
        </w:tc>
        <w:tc>
          <w:tcPr>
            <w:tcW w:w="7980" w:type="dxa"/>
            <w:vAlign w:val="bottom"/>
          </w:tcPr>
          <w:p>
            <w:pPr>
              <w:ind w:left="240"/>
              <w:spacing w:after="0"/>
              <w:rPr>
                <w:sz w:val="20"/>
                <w:szCs w:val="20"/>
                <w:color w:val="auto"/>
              </w:rPr>
            </w:pPr>
            <w:r>
              <w:rPr>
                <w:rFonts w:ascii="Arial" w:cs="Arial" w:eastAsia="Arial" w:hAnsi="Arial"/>
                <w:sz w:val="17"/>
                <w:szCs w:val="17"/>
                <w:color w:val="auto"/>
              </w:rPr>
              <w:t>Net Capital Requirements and Other Regulatory Matters</w:t>
            </w:r>
          </w:p>
        </w:tc>
        <w:tc>
          <w:tcPr>
            <w:tcW w:w="1920" w:type="dxa"/>
            <w:vAlign w:val="bottom"/>
          </w:tcPr>
          <w:p>
            <w:pPr>
              <w:jc w:val="right"/>
              <w:spacing w:after="0"/>
              <w:rPr>
                <w:sz w:val="20"/>
                <w:szCs w:val="20"/>
                <w:color w:val="auto"/>
              </w:rPr>
            </w:pPr>
            <w:r>
              <w:rPr>
                <w:rFonts w:ascii="Arial" w:cs="Arial" w:eastAsia="Arial" w:hAnsi="Arial"/>
                <w:sz w:val="17"/>
                <w:szCs w:val="17"/>
                <w:color w:val="auto"/>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Financial Condition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36"/>
        </w:trPr>
        <w:tc>
          <w:tcPr>
            <w:tcW w:w="7940" w:type="dxa"/>
            <w:vAlign w:val="bottom"/>
            <w:vMerge w:val="restart"/>
          </w:tcPr>
          <w:p>
            <w:pPr>
              <w:ind w:left="20"/>
              <w:spacing w:after="0"/>
              <w:rPr>
                <w:sz w:val="20"/>
                <w:szCs w:val="20"/>
                <w:color w:val="auto"/>
              </w:rPr>
            </w:pPr>
            <w:r>
              <w:rPr>
                <w:rFonts w:ascii="Arial" w:cs="Arial" w:eastAsia="Arial" w:hAnsi="Arial"/>
                <w:sz w:val="15"/>
                <w:szCs w:val="15"/>
                <w:i w:val="1"/>
                <w:iCs w:val="1"/>
                <w:color w:val="auto"/>
              </w:rPr>
              <w:t>(Amounts in thousands, except share data)</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197"/>
        </w:trPr>
        <w:tc>
          <w:tcPr>
            <w:tcW w:w="79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center"/>
              <w:ind w:right="175"/>
              <w:spacing w:after="0"/>
              <w:rPr>
                <w:sz w:val="20"/>
                <w:szCs w:val="20"/>
                <w:color w:val="auto"/>
              </w:rPr>
            </w:pPr>
            <w:r>
              <w:rPr>
                <w:rFonts w:ascii="Arial" w:cs="Arial" w:eastAsia="Arial" w:hAnsi="Arial"/>
                <w:sz w:val="15"/>
                <w:szCs w:val="15"/>
                <w:color w:val="auto"/>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Assets</w:t>
            </w:r>
          </w:p>
        </w:tc>
        <w:tc>
          <w:tcPr>
            <w:tcW w:w="260" w:type="dxa"/>
            <w:vAlign w:val="bottom"/>
            <w:shd w:val="clear" w:color="auto" w:fill="F3F3F3"/>
          </w:tcPr>
          <w:p>
            <w:pPr>
              <w:spacing w:after="0"/>
              <w:rPr>
                <w:sz w:val="20"/>
                <w:szCs w:val="20"/>
                <w:color w:val="auto"/>
              </w:rPr>
            </w:pPr>
          </w:p>
        </w:tc>
        <w:tc>
          <w:tcPr>
            <w:tcW w:w="1340" w:type="dxa"/>
            <w:vAlign w:val="bottom"/>
            <w:shd w:val="clear" w:color="auto" w:fill="F3F3F3"/>
          </w:tcPr>
          <w:p>
            <w:pPr>
              <w:spacing w:after="0"/>
              <w:rPr>
                <w:sz w:val="20"/>
                <w:szCs w:val="20"/>
                <w:color w:val="auto"/>
              </w:rPr>
            </w:pPr>
          </w:p>
        </w:tc>
        <w:tc>
          <w:tcPr>
            <w:tcW w:w="100" w:type="dxa"/>
            <w:vAlign w:val="bottom"/>
            <w:shd w:val="clear" w:color="auto" w:fill="F3F3F3"/>
          </w:tcPr>
          <w:p>
            <w:pPr>
              <w:spacing w:after="0"/>
              <w:rPr>
                <w:sz w:val="20"/>
                <w:szCs w:val="20"/>
                <w:color w:val="auto"/>
              </w:rPr>
            </w:pPr>
          </w:p>
        </w:tc>
        <w:tc>
          <w:tcPr>
            <w:tcW w:w="180" w:type="dxa"/>
            <w:vAlign w:val="bottom"/>
            <w:shd w:val="clear" w:color="auto" w:fill="F3F3F3"/>
          </w:tcPr>
          <w:p>
            <w:pPr>
              <w:spacing w:after="0"/>
              <w:rPr>
                <w:sz w:val="20"/>
                <w:szCs w:val="20"/>
                <w:color w:val="auto"/>
              </w:rPr>
            </w:pPr>
          </w:p>
        </w:tc>
        <w:tc>
          <w:tcPr>
            <w:tcW w:w="1420" w:type="dxa"/>
            <w:vAlign w:val="bottom"/>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344,434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809,415</w:t>
            </w:r>
          </w:p>
        </w:tc>
        <w:tc>
          <w:tcPr>
            <w:tcW w:w="0" w:type="dxa"/>
            <w:vAlign w:val="bottom"/>
          </w:tcPr>
          <w:p>
            <w:pPr>
              <w:spacing w:after="0"/>
              <w:rPr>
                <w:sz w:val="1"/>
                <w:szCs w:val="1"/>
                <w:color w:val="auto"/>
              </w:rPr>
            </w:pP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Receivables from brokers, dealers and clearing organizations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111,197</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53,612</w:t>
            </w:r>
          </w:p>
        </w:tc>
        <w:tc>
          <w:tcPr>
            <w:tcW w:w="0" w:type="dxa"/>
            <w:vAlign w:val="bottom"/>
          </w:tcPr>
          <w:p>
            <w:pPr>
              <w:spacing w:after="0"/>
              <w:rPr>
                <w:sz w:val="1"/>
                <w:szCs w:val="1"/>
                <w:color w:val="auto"/>
              </w:rPr>
            </w:pPr>
          </w:p>
        </w:tc>
      </w:tr>
      <w:tr>
        <w:trPr>
          <w:trHeight w:val="216"/>
        </w:trPr>
        <w:tc>
          <w:tcPr>
            <w:tcW w:w="7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Financial instruments and other inventory positions owned:</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7"/>
                <w:szCs w:val="17"/>
                <w:color w:val="auto"/>
              </w:rPr>
              <w:t>Financial instruments and other inventory positions owned</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421,277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435,204</w:t>
            </w:r>
          </w:p>
        </w:tc>
        <w:tc>
          <w:tcPr>
            <w:tcW w:w="0" w:type="dxa"/>
            <w:vAlign w:val="bottom"/>
          </w:tcPr>
          <w:p>
            <w:pPr>
              <w:spacing w:after="0"/>
              <w:rPr>
                <w:sz w:val="1"/>
                <w:szCs w:val="1"/>
                <w:color w:val="auto"/>
              </w:rPr>
            </w:pPr>
          </w:p>
        </w:tc>
      </w:tr>
      <w:tr>
        <w:trPr>
          <w:trHeight w:val="229"/>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Financial instruments and other inventory positions owned and pledged as collateral</w:t>
            </w:r>
          </w:p>
        </w:tc>
        <w:tc>
          <w:tcPr>
            <w:tcW w:w="26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64,048</w:t>
            </w:r>
          </w:p>
        </w:tc>
        <w:tc>
          <w:tcPr>
            <w:tcW w:w="10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spacing w:after="0"/>
              <w:rPr>
                <w:sz w:val="19"/>
                <w:szCs w:val="19"/>
                <w:color w:val="auto"/>
              </w:rPr>
            </w:pP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67,066</w:t>
            </w:r>
          </w:p>
        </w:tc>
        <w:tc>
          <w:tcPr>
            <w:tcW w:w="0" w:type="dxa"/>
            <w:vAlign w:val="bottom"/>
          </w:tcPr>
          <w:p>
            <w:pPr>
              <w:spacing w:after="0"/>
              <w:rPr>
                <w:sz w:val="1"/>
                <w:szCs w:val="1"/>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7"/>
                <w:szCs w:val="17"/>
                <w:color w:val="auto"/>
              </w:rPr>
              <w:t>Total financial instruments and other inventory positions owned</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485,325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502,270</w:t>
            </w:r>
          </w:p>
        </w:tc>
        <w:tc>
          <w:tcPr>
            <w:tcW w:w="0" w:type="dxa"/>
            <w:vAlign w:val="bottom"/>
          </w:tcPr>
          <w:p>
            <w:pPr>
              <w:spacing w:after="0"/>
              <w:rPr>
                <w:sz w:val="1"/>
                <w:szCs w:val="1"/>
                <w:color w:val="auto"/>
              </w:rPr>
            </w:pPr>
          </w:p>
        </w:tc>
      </w:tr>
      <w:tr>
        <w:trPr>
          <w:trHeight w:val="216"/>
        </w:trPr>
        <w:tc>
          <w:tcPr>
            <w:tcW w:w="7940" w:type="dxa"/>
            <w:vAlign w:val="bottom"/>
            <w:shd w:val="clear" w:color="auto" w:fill="F3F3F3"/>
          </w:tcPr>
          <w:p>
            <w:pPr>
              <w:spacing w:after="0"/>
              <w:rPr>
                <w:sz w:val="18"/>
                <w:szCs w:val="18"/>
                <w:color w:val="auto"/>
              </w:rPr>
            </w:pPr>
          </w:p>
        </w:tc>
        <w:tc>
          <w:tcPr>
            <w:tcW w:w="260" w:type="dxa"/>
            <w:vAlign w:val="bottom"/>
            <w:shd w:val="clear" w:color="auto" w:fill="F3F3F3"/>
          </w:tcPr>
          <w:p>
            <w:pPr>
              <w:spacing w:after="0"/>
              <w:rPr>
                <w:sz w:val="18"/>
                <w:szCs w:val="18"/>
                <w:color w:val="auto"/>
              </w:rPr>
            </w:pPr>
          </w:p>
        </w:tc>
        <w:tc>
          <w:tcPr>
            <w:tcW w:w="13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180" w:type="dxa"/>
            <w:vAlign w:val="bottom"/>
            <w:shd w:val="clear" w:color="auto" w:fill="F3F3F3"/>
          </w:tcPr>
          <w:p>
            <w:pPr>
              <w:spacing w:after="0"/>
              <w:rPr>
                <w:sz w:val="18"/>
                <w:szCs w:val="18"/>
                <w:color w:val="auto"/>
              </w:rPr>
            </w:pPr>
          </w:p>
        </w:tc>
        <w:tc>
          <w:tcPr>
            <w:tcW w:w="1420" w:type="dxa"/>
            <w:vAlign w:val="bottom"/>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Investments (including noncontrolling interests of $205,069 and $216,838, respectively)</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311,082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322,518</w:t>
            </w:r>
          </w:p>
        </w:tc>
        <w:tc>
          <w:tcPr>
            <w:tcW w:w="0" w:type="dxa"/>
            <w:vAlign w:val="bottom"/>
          </w:tcPr>
          <w:p>
            <w:pPr>
              <w:spacing w:after="0"/>
              <w:rPr>
                <w:sz w:val="1"/>
                <w:szCs w:val="1"/>
                <w:color w:val="auto"/>
              </w:rPr>
            </w:pP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Fixed assets (net of accumulated depreciation and amortization of $93,979 and $89,312, respectively)</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74,641</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77,329</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color w:val="auto"/>
              </w:rPr>
              <w:t>Right-of-use lease assets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60,474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64,004</w:t>
            </w:r>
          </w:p>
        </w:tc>
        <w:tc>
          <w:tcPr>
            <w:tcW w:w="0" w:type="dxa"/>
            <w:vAlign w:val="bottom"/>
          </w:tcPr>
          <w:p>
            <w:pPr>
              <w:spacing w:after="0"/>
              <w:rPr>
                <w:sz w:val="1"/>
                <w:szCs w:val="1"/>
                <w:color w:val="auto"/>
              </w:rPr>
            </w:pP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Goodwill</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319,258</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319,258</w:t>
            </w:r>
          </w:p>
        </w:tc>
        <w:tc>
          <w:tcPr>
            <w:tcW w:w="0" w:type="dxa"/>
            <w:vAlign w:val="bottom"/>
          </w:tcPr>
          <w:p>
            <w:pPr>
              <w:spacing w:after="0"/>
              <w:rPr>
                <w:sz w:val="1"/>
                <w:szCs w:val="1"/>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color w:val="auto"/>
              </w:rPr>
              <w:t>Intangible assets (net of accumulated amortization of $172,831 and $170,774, respectively)</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98,682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99,598</w:t>
            </w:r>
          </w:p>
        </w:tc>
        <w:tc>
          <w:tcPr>
            <w:tcW w:w="0" w:type="dxa"/>
            <w:vAlign w:val="bottom"/>
          </w:tcPr>
          <w:p>
            <w:pPr>
              <w:spacing w:after="0"/>
              <w:rPr>
                <w:sz w:val="1"/>
                <w:szCs w:val="1"/>
                <w:color w:val="auto"/>
              </w:rPr>
            </w:pP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Net deferred income tax assets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138,192</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156,124</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186,778</w:t>
            </w:r>
          </w:p>
        </w:tc>
        <w:tc>
          <w:tcPr>
            <w:tcW w:w="100" w:type="dxa"/>
            <w:vAlign w:val="bottom"/>
            <w:tcBorders>
              <w:bottom w:val="single" w:sz="8" w:color="F3F3F3"/>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188,518</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Total assets</w:t>
            </w:r>
          </w:p>
        </w:tc>
        <w:tc>
          <w:tcPr>
            <w:tcW w:w="260" w:type="dxa"/>
            <w:vAlign w:val="bottom"/>
            <w:tcBorders>
              <w:bottom w:val="single" w:sz="8" w:color="auto"/>
            </w:tcBorders>
            <w:shd w:val="clear" w:color="auto" w:fill="F3F3F3"/>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2,130,063</w:t>
            </w:r>
          </w:p>
        </w:tc>
        <w:tc>
          <w:tcPr>
            <w:tcW w:w="100" w:type="dxa"/>
            <w:vAlign w:val="bottom"/>
            <w:tcBorders>
              <w:bottom w:val="single" w:sz="8" w:color="F3F3F3"/>
            </w:tcBorders>
            <w:shd w:val="clear" w:color="auto" w:fill="F3F3F3"/>
          </w:tcPr>
          <w:p>
            <w:pPr>
              <w:spacing w:after="0"/>
              <w:rPr>
                <w:sz w:val="21"/>
                <w:szCs w:val="21"/>
                <w:color w:val="auto"/>
              </w:rPr>
            </w:pPr>
          </w:p>
        </w:tc>
        <w:tc>
          <w:tcPr>
            <w:tcW w:w="1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2,592,646</w:t>
            </w:r>
          </w:p>
        </w:tc>
        <w:tc>
          <w:tcPr>
            <w:tcW w:w="0" w:type="dxa"/>
            <w:vAlign w:val="bottom"/>
          </w:tcPr>
          <w:p>
            <w:pPr>
              <w:spacing w:after="0"/>
              <w:rPr>
                <w:sz w:val="1"/>
                <w:szCs w:val="1"/>
                <w:color w:val="auto"/>
              </w:rPr>
            </w:pP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260" w:type="dxa"/>
            <w:vAlign w:val="bottom"/>
            <w:tcBorders>
              <w:top w:val="single" w:sz="8" w:color="F3F3F3"/>
              <w:bottom w:val="single" w:sz="8" w:color="auto"/>
            </w:tcBorders>
          </w:tcPr>
          <w:p>
            <w:pPr>
              <w:spacing w:after="0" w:line="20" w:lineRule="exact"/>
              <w:rPr>
                <w:sz w:val="1"/>
                <w:szCs w:val="1"/>
                <w:color w:val="auto"/>
              </w:rPr>
            </w:pPr>
          </w:p>
        </w:tc>
        <w:tc>
          <w:tcPr>
            <w:tcW w:w="13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80" w:type="dxa"/>
            <w:vAlign w:val="bottom"/>
            <w:tcBorders>
              <w:top w:val="single" w:sz="8" w:color="F3F3F3"/>
              <w:bottom w:val="single" w:sz="8" w:color="auto"/>
            </w:tcBorders>
          </w:tcPr>
          <w:p>
            <w:pPr>
              <w:spacing w:after="0" w:line="20" w:lineRule="exact"/>
              <w:rPr>
                <w:sz w:val="1"/>
                <w:szCs w:val="1"/>
                <w:color w:val="auto"/>
              </w:rPr>
            </w:pPr>
          </w:p>
        </w:tc>
        <w:tc>
          <w:tcPr>
            <w:tcW w:w="1420" w:type="dxa"/>
            <w:vAlign w:val="bottom"/>
            <w:tcBorders>
              <w:top w:val="single" w:sz="8" w:color="F3F3F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Liabilities and Shareholders' Equity</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Short-term financing</w:t>
            </w:r>
          </w:p>
        </w:tc>
        <w:tc>
          <w:tcPr>
            <w:tcW w:w="260" w:type="dxa"/>
            <w:vAlign w:val="bottom"/>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15,000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15,000</w:t>
            </w:r>
          </w:p>
        </w:tc>
        <w:tc>
          <w:tcPr>
            <w:tcW w:w="0" w:type="dxa"/>
            <w:vAlign w:val="bottom"/>
          </w:tcPr>
          <w:p>
            <w:pPr>
              <w:spacing w:after="0"/>
              <w:rPr>
                <w:sz w:val="1"/>
                <w:szCs w:val="1"/>
                <w:color w:val="auto"/>
              </w:rPr>
            </w:pP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Payables to brokers, dealers and clearing organizations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40,907</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22,358</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Financial instruments and other inventory positions sold, but not yet purchased</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43,142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48,514</w:t>
            </w:r>
          </w:p>
        </w:tc>
        <w:tc>
          <w:tcPr>
            <w:tcW w:w="0" w:type="dxa"/>
            <w:vAlign w:val="bottom"/>
          </w:tcPr>
          <w:p>
            <w:pPr>
              <w:spacing w:after="0"/>
              <w:rPr>
                <w:sz w:val="1"/>
                <w:szCs w:val="1"/>
                <w:color w:val="auto"/>
              </w:rPr>
            </w:pP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Accrued compensation</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230,929</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702,847</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Accrued lease liabilities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97,222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101,351</w:t>
            </w:r>
          </w:p>
        </w:tc>
        <w:tc>
          <w:tcPr>
            <w:tcW w:w="0" w:type="dxa"/>
            <w:vAlign w:val="bottom"/>
          </w:tcPr>
          <w:p>
            <w:pPr>
              <w:spacing w:after="0"/>
              <w:rPr>
                <w:sz w:val="1"/>
                <w:szCs w:val="1"/>
                <w:color w:val="auto"/>
              </w:rPr>
            </w:pP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Other liabilities and accrued expenses</w:t>
            </w:r>
          </w:p>
        </w:tc>
        <w:tc>
          <w:tcPr>
            <w:tcW w:w="26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145,004</w:t>
            </w:r>
          </w:p>
        </w:tc>
        <w:tc>
          <w:tcPr>
            <w:tcW w:w="10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spacing w:after="0"/>
              <w:rPr>
                <w:sz w:val="19"/>
                <w:szCs w:val="19"/>
                <w:color w:val="auto"/>
              </w:rPr>
            </w:pP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119,783</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Arial" w:cs="Arial" w:eastAsia="Arial" w:hAnsi="Arial"/>
                <w:sz w:val="17"/>
                <w:szCs w:val="17"/>
                <w:b w:val="1"/>
                <w:bCs w:val="1"/>
                <w:color w:val="auto"/>
              </w:rPr>
              <w:t>Total liabilities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572,204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1,009,853</w:t>
            </w:r>
          </w:p>
        </w:tc>
        <w:tc>
          <w:tcPr>
            <w:tcW w:w="0" w:type="dxa"/>
            <w:vAlign w:val="bottom"/>
          </w:tcPr>
          <w:p>
            <w:pPr>
              <w:spacing w:after="0"/>
              <w:rPr>
                <w:sz w:val="1"/>
                <w:szCs w:val="1"/>
                <w:color w:val="auto"/>
              </w:rPr>
            </w:pPr>
          </w:p>
        </w:tc>
      </w:tr>
      <w:tr>
        <w:trPr>
          <w:trHeight w:val="216"/>
        </w:trPr>
        <w:tc>
          <w:tcPr>
            <w:tcW w:w="7940" w:type="dxa"/>
            <w:vAlign w:val="bottom"/>
            <w:shd w:val="clear" w:color="auto" w:fill="F3F3F3"/>
          </w:tcPr>
          <w:p>
            <w:pPr>
              <w:spacing w:after="0"/>
              <w:rPr>
                <w:sz w:val="18"/>
                <w:szCs w:val="18"/>
                <w:color w:val="auto"/>
              </w:rPr>
            </w:pPr>
          </w:p>
        </w:tc>
        <w:tc>
          <w:tcPr>
            <w:tcW w:w="260" w:type="dxa"/>
            <w:vAlign w:val="bottom"/>
            <w:shd w:val="clear" w:color="auto" w:fill="F3F3F3"/>
          </w:tcPr>
          <w:p>
            <w:pPr>
              <w:spacing w:after="0"/>
              <w:rPr>
                <w:sz w:val="18"/>
                <w:szCs w:val="18"/>
                <w:color w:val="auto"/>
              </w:rPr>
            </w:pPr>
          </w:p>
        </w:tc>
        <w:tc>
          <w:tcPr>
            <w:tcW w:w="13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180" w:type="dxa"/>
            <w:vAlign w:val="bottom"/>
            <w:shd w:val="clear" w:color="auto" w:fill="F3F3F3"/>
          </w:tcPr>
          <w:p>
            <w:pPr>
              <w:spacing w:after="0"/>
              <w:rPr>
                <w:sz w:val="18"/>
                <w:szCs w:val="18"/>
                <w:color w:val="auto"/>
              </w:rPr>
            </w:pPr>
          </w:p>
        </w:tc>
        <w:tc>
          <w:tcPr>
            <w:tcW w:w="1420" w:type="dxa"/>
            <w:vAlign w:val="bottom"/>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Shareholders' equity (1):</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Common stock, $0.01 par value:</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940" w:type="dxa"/>
            <w:vAlign w:val="bottom"/>
          </w:tcPr>
          <w:p>
            <w:pPr>
              <w:ind w:left="240"/>
              <w:spacing w:after="0"/>
              <w:rPr>
                <w:sz w:val="20"/>
                <w:szCs w:val="20"/>
                <w:color w:val="auto"/>
              </w:rPr>
            </w:pPr>
            <w:r>
              <w:rPr>
                <w:rFonts w:ascii="Arial" w:cs="Arial" w:eastAsia="Arial" w:hAnsi="Arial"/>
                <w:sz w:val="17"/>
                <w:szCs w:val="17"/>
                <w:color w:val="auto"/>
              </w:rPr>
              <w:t>Shares authorized: 400,000,000;</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Shares issued: 78,120,833 and 78,250,916, respectively;</w:t>
            </w:r>
          </w:p>
        </w:tc>
        <w:tc>
          <w:tcPr>
            <w:tcW w:w="260" w:type="dxa"/>
            <w:vAlign w:val="bottom"/>
            <w:shd w:val="clear" w:color="auto" w:fill="F3F3F3"/>
          </w:tcPr>
          <w:p>
            <w:pPr>
              <w:spacing w:after="0"/>
              <w:rPr>
                <w:sz w:val="20"/>
                <w:szCs w:val="20"/>
                <w:color w:val="auto"/>
              </w:rPr>
            </w:pPr>
          </w:p>
        </w:tc>
        <w:tc>
          <w:tcPr>
            <w:tcW w:w="1340" w:type="dxa"/>
            <w:vAlign w:val="bottom"/>
            <w:shd w:val="clear" w:color="auto" w:fill="F3F3F3"/>
          </w:tcPr>
          <w:p>
            <w:pPr>
              <w:spacing w:after="0"/>
              <w:rPr>
                <w:sz w:val="20"/>
                <w:szCs w:val="20"/>
                <w:color w:val="auto"/>
              </w:rPr>
            </w:pPr>
          </w:p>
        </w:tc>
        <w:tc>
          <w:tcPr>
            <w:tcW w:w="100" w:type="dxa"/>
            <w:vAlign w:val="bottom"/>
            <w:shd w:val="clear" w:color="auto" w:fill="F3F3F3"/>
          </w:tcPr>
          <w:p>
            <w:pPr>
              <w:spacing w:after="0"/>
              <w:rPr>
                <w:sz w:val="20"/>
                <w:szCs w:val="20"/>
                <w:color w:val="auto"/>
              </w:rPr>
            </w:pPr>
          </w:p>
        </w:tc>
        <w:tc>
          <w:tcPr>
            <w:tcW w:w="180" w:type="dxa"/>
            <w:vAlign w:val="bottom"/>
            <w:shd w:val="clear" w:color="auto" w:fill="F3F3F3"/>
          </w:tcPr>
          <w:p>
            <w:pPr>
              <w:spacing w:after="0"/>
              <w:rPr>
                <w:sz w:val="20"/>
                <w:szCs w:val="20"/>
                <w:color w:val="auto"/>
              </w:rPr>
            </w:pPr>
          </w:p>
        </w:tc>
        <w:tc>
          <w:tcPr>
            <w:tcW w:w="1420" w:type="dxa"/>
            <w:vAlign w:val="bottom"/>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7"/>
                <w:szCs w:val="17"/>
                <w:color w:val="auto"/>
              </w:rPr>
              <w:t>Shares outstanding: 67,857,561 and 67,483,432, respectively</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779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1,004,878</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957,145</w:t>
            </w:r>
          </w:p>
        </w:tc>
        <w:tc>
          <w:tcPr>
            <w:tcW w:w="0" w:type="dxa"/>
            <w:vAlign w:val="bottom"/>
          </w:tcPr>
          <w:p>
            <w:pPr>
              <w:spacing w:after="0"/>
              <w:rPr>
                <w:sz w:val="1"/>
                <w:szCs w:val="1"/>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Retained earnings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680,540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728,931</w:t>
            </w:r>
          </w:p>
        </w:tc>
        <w:tc>
          <w:tcPr>
            <w:tcW w:w="0" w:type="dxa"/>
            <w:vAlign w:val="bottom"/>
          </w:tcPr>
          <w:p>
            <w:pPr>
              <w:spacing w:after="0"/>
              <w:rPr>
                <w:sz w:val="1"/>
                <w:szCs w:val="1"/>
                <w:color w:val="auto"/>
              </w:rPr>
            </w:pP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Less: Common stock held in treasury, at cost: 10,263,272 shares and 10,767,484 shares, respectively</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(346,119)</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(318,581)</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1,758</w:t>
            </w:r>
          </w:p>
        </w:tc>
        <w:tc>
          <w:tcPr>
            <w:tcW w:w="100" w:type="dxa"/>
            <w:vAlign w:val="bottom"/>
            <w:tcBorders>
              <w:bottom w:val="single" w:sz="8" w:color="F3F3F3"/>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2,733</w:t>
            </w:r>
          </w:p>
        </w:tc>
        <w:tc>
          <w:tcPr>
            <w:tcW w:w="0" w:type="dxa"/>
            <w:vAlign w:val="bottom"/>
          </w:tcPr>
          <w:p>
            <w:pPr>
              <w:spacing w:after="0"/>
              <w:rPr>
                <w:sz w:val="1"/>
                <w:szCs w:val="1"/>
                <w:color w:val="auto"/>
              </w:rPr>
            </w:pPr>
          </w:p>
        </w:tc>
      </w:tr>
      <w:tr>
        <w:trPr>
          <w:trHeight w:val="223"/>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Total common shareholders' equity</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1,341,836</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1,371,007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Noncontrolling interests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216,023</w:t>
            </w:r>
          </w:p>
        </w:tc>
        <w:tc>
          <w:tcPr>
            <w:tcW w:w="100" w:type="dxa"/>
            <w:vAlign w:val="bottom"/>
            <w:tcBorders>
              <w:bottom w:val="single" w:sz="8" w:color="F3F3F3"/>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211,786</w:t>
            </w:r>
          </w:p>
        </w:tc>
        <w:tc>
          <w:tcPr>
            <w:tcW w:w="0" w:type="dxa"/>
            <w:vAlign w:val="bottom"/>
          </w:tcPr>
          <w:p>
            <w:pPr>
              <w:spacing w:after="0"/>
              <w:rPr>
                <w:sz w:val="1"/>
                <w:szCs w:val="1"/>
                <w:color w:val="auto"/>
              </w:rPr>
            </w:pPr>
          </w:p>
        </w:tc>
      </w:tr>
      <w:tr>
        <w:trPr>
          <w:trHeight w:val="223"/>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Total shareholders' equity</w:t>
            </w:r>
          </w:p>
        </w:tc>
        <w:tc>
          <w:tcPr>
            <w:tcW w:w="26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1,557,859</w:t>
            </w:r>
          </w:p>
        </w:tc>
        <w:tc>
          <w:tcPr>
            <w:tcW w:w="10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spacing w:after="0"/>
              <w:rPr>
                <w:sz w:val="19"/>
                <w:szCs w:val="19"/>
                <w:color w:val="auto"/>
              </w:rPr>
            </w:pP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1,582,793</w:t>
            </w:r>
          </w:p>
        </w:tc>
        <w:tc>
          <w:tcPr>
            <w:tcW w:w="0" w:type="dxa"/>
            <w:vAlign w:val="bottom"/>
          </w:tcPr>
          <w:p>
            <w:pPr>
              <w:spacing w:after="0"/>
              <w:rPr>
                <w:sz w:val="1"/>
                <w:szCs w:val="1"/>
                <w:color w:val="auto"/>
              </w:rPr>
            </w:pPr>
          </w:p>
        </w:tc>
      </w:tr>
      <w:tr>
        <w:trPr>
          <w:trHeight w:val="196"/>
        </w:trPr>
        <w:tc>
          <w:tcPr>
            <w:tcW w:w="7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94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Total liabilities and shareholders' equity</w:t>
            </w:r>
          </w:p>
        </w:tc>
        <w:tc>
          <w:tcPr>
            <w:tcW w:w="260" w:type="dxa"/>
            <w:vAlign w:val="bottom"/>
            <w:tcBorders>
              <w:bottom w:val="single" w:sz="8" w:color="auto"/>
            </w:tcBorders>
            <w:shd w:val="clear" w:color="auto" w:fill="F3F3F3"/>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2,130,063</w:t>
            </w:r>
          </w:p>
        </w:tc>
        <w:tc>
          <w:tcPr>
            <w:tcW w:w="100" w:type="dxa"/>
            <w:vAlign w:val="bottom"/>
            <w:tcBorders>
              <w:bottom w:val="single" w:sz="8" w:color="F3F3F3"/>
            </w:tcBorders>
            <w:shd w:val="clear" w:color="auto" w:fill="F3F3F3"/>
          </w:tcPr>
          <w:p>
            <w:pPr>
              <w:spacing w:after="0"/>
              <w:rPr>
                <w:sz w:val="21"/>
                <w:szCs w:val="21"/>
                <w:color w:val="auto"/>
              </w:rPr>
            </w:pPr>
          </w:p>
        </w:tc>
        <w:tc>
          <w:tcPr>
            <w:tcW w:w="1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2,592,646</w:t>
            </w:r>
          </w:p>
        </w:tc>
        <w:tc>
          <w:tcPr>
            <w:tcW w:w="0" w:type="dxa"/>
            <w:vAlign w:val="bottom"/>
          </w:tcPr>
          <w:p>
            <w:pPr>
              <w:spacing w:after="0"/>
              <w:rPr>
                <w:sz w:val="1"/>
                <w:szCs w:val="1"/>
                <w:color w:val="auto"/>
              </w:rPr>
            </w:pP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260" w:type="dxa"/>
            <w:vAlign w:val="bottom"/>
            <w:tcBorders>
              <w:top w:val="single" w:sz="8" w:color="F3F3F3"/>
              <w:bottom w:val="single" w:sz="8" w:color="auto"/>
            </w:tcBorders>
          </w:tcPr>
          <w:p>
            <w:pPr>
              <w:spacing w:after="0" w:line="20" w:lineRule="exact"/>
              <w:rPr>
                <w:sz w:val="1"/>
                <w:szCs w:val="1"/>
                <w:color w:val="auto"/>
              </w:rPr>
            </w:pPr>
          </w:p>
        </w:tc>
        <w:tc>
          <w:tcPr>
            <w:tcW w:w="13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80" w:type="dxa"/>
            <w:vAlign w:val="bottom"/>
            <w:tcBorders>
              <w:top w:val="single" w:sz="8" w:color="F3F3F3"/>
              <w:bottom w:val="single" w:sz="8" w:color="auto"/>
            </w:tcBorders>
          </w:tcPr>
          <w:p>
            <w:pPr>
              <w:spacing w:after="0" w:line="20" w:lineRule="exact"/>
              <w:rPr>
                <w:sz w:val="1"/>
                <w:szCs w:val="1"/>
                <w:color w:val="auto"/>
              </w:rPr>
            </w:pPr>
          </w:p>
        </w:tc>
        <w:tc>
          <w:tcPr>
            <w:tcW w:w="1420" w:type="dxa"/>
            <w:vAlign w:val="bottom"/>
            <w:tcBorders>
              <w:top w:val="single" w:sz="8" w:color="F3F3F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5"/>
          <w:szCs w:val="15"/>
          <w:i w:val="1"/>
          <w:iCs w:val="1"/>
          <w:color w:val="auto"/>
        </w:rPr>
      </w:pPr>
      <w:r>
        <w:rPr>
          <w:rFonts w:ascii="Arial" w:cs="Arial" w:eastAsia="Arial" w:hAnsi="Arial"/>
          <w:sz w:val="15"/>
          <w:szCs w:val="15"/>
          <w:i w:val="1"/>
          <w:iCs w:val="1"/>
          <w:color w:val="auto"/>
        </w:rPr>
        <w:t>Common shares information and additional paid-in capital have been adjusted to reflect the four-for-one forward split of common stock, as discussed in Note 1.</w:t>
      </w:r>
    </w:p>
    <w:p>
      <w:pPr>
        <w:spacing w:after="0" w:line="94" w:lineRule="exact"/>
        <w:rPr>
          <w:rFonts w:ascii="Arial" w:cs="Arial" w:eastAsia="Arial" w:hAnsi="Arial"/>
          <w:sz w:val="15"/>
          <w:szCs w:val="15"/>
          <w:i w:val="1"/>
          <w:iCs w:val="1"/>
          <w:color w:val="auto"/>
        </w:rPr>
      </w:pPr>
    </w:p>
    <w:p>
      <w:pPr>
        <w:ind w:left="3600"/>
        <w:spacing w:after="0"/>
        <w:rPr>
          <w:rFonts w:ascii="Arial" w:cs="Arial" w:eastAsia="Arial" w:hAnsi="Arial"/>
          <w:sz w:val="15"/>
          <w:szCs w:val="15"/>
          <w:i w:val="1"/>
          <w:iCs w:val="1"/>
          <w:color w:val="auto"/>
        </w:rPr>
      </w:pPr>
      <w:r>
        <w:rPr>
          <w:rFonts w:ascii="Arial" w:cs="Arial" w:eastAsia="Arial" w:hAnsi="Arial"/>
          <w:sz w:val="17"/>
          <w:szCs w:val="17"/>
          <w:i w:val="1"/>
          <w:i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r>
      <w:tr>
        <w:trPr>
          <w:trHeight w:val="235"/>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6"/>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 except per share data)</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r>
      <w:tr>
        <w:trPr>
          <w:trHeight w:val="21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Revenues</w:t>
            </w:r>
          </w:p>
        </w:tc>
        <w:tc>
          <w:tcPr>
            <w:tcW w:w="360" w:type="dxa"/>
            <w:vAlign w:val="bottom"/>
            <w:shd w:val="clear" w:color="auto" w:fill="F3F3F3"/>
          </w:tcPr>
          <w:p>
            <w:pPr>
              <w:spacing w:after="0"/>
              <w:rPr>
                <w:sz w:val="18"/>
                <w:szCs w:val="18"/>
                <w:color w:val="auto"/>
              </w:rPr>
            </w:pPr>
          </w:p>
        </w:tc>
        <w:tc>
          <w:tcPr>
            <w:tcW w:w="12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c>
          <w:tcPr>
            <w:tcW w:w="1120" w:type="dxa"/>
            <w:vAlign w:val="bottom"/>
            <w:shd w:val="clear" w:color="auto" w:fill="F3F3F3"/>
          </w:tcPr>
          <w:p>
            <w:pPr>
              <w:spacing w:after="0"/>
              <w:rPr>
                <w:sz w:val="18"/>
                <w:szCs w:val="18"/>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color w:val="auto"/>
              </w:rPr>
              <w:t>Investment banking</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348,190</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276,264</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Institutional brokerage</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110,845</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101,924</w:t>
            </w: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11,646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9,963</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Investment income/(loss)</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4,464</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(29,597)</w:t>
            </w:r>
          </w:p>
        </w:tc>
      </w:tr>
      <w:tr>
        <w:trPr>
          <w:trHeight w:val="223"/>
        </w:trPr>
        <w:tc>
          <w:tcPr>
            <w:tcW w:w="7940" w:type="dxa"/>
            <w:vAlign w:val="bottom"/>
          </w:tcPr>
          <w:p>
            <w:pPr>
              <w:ind w:left="20"/>
              <w:spacing w:after="0"/>
              <w:rPr>
                <w:sz w:val="20"/>
                <w:szCs w:val="20"/>
                <w:color w:val="auto"/>
              </w:rPr>
            </w:pPr>
            <w:r>
              <w:rPr>
                <w:rFonts w:ascii="Arial" w:cs="Arial" w:eastAsia="Arial" w:hAnsi="Arial"/>
                <w:sz w:val="17"/>
                <w:szCs w:val="17"/>
                <w:b w:val="1"/>
                <w:bCs w:val="1"/>
                <w:color w:val="auto"/>
              </w:rPr>
              <w:t>Total revenues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475,145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358,554</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Interest expense</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736</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1,282</w:t>
            </w:r>
          </w:p>
        </w:tc>
      </w:tr>
      <w:tr>
        <w:trPr>
          <w:trHeight w:val="223"/>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7"/>
                <w:szCs w:val="17"/>
                <w:b w:val="1"/>
                <w:bCs w:val="1"/>
                <w:color w:val="auto"/>
              </w:rPr>
              <w:t>Net revenues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474,409</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357,272</w:t>
            </w:r>
          </w:p>
        </w:tc>
      </w:tr>
      <w:tr>
        <w:trPr>
          <w:trHeight w:val="237"/>
        </w:trPr>
        <w:tc>
          <w:tcPr>
            <w:tcW w:w="7940" w:type="dxa"/>
            <w:vAlign w:val="bottom"/>
            <w:shd w:val="clear" w:color="auto" w:fill="F3F3F3"/>
          </w:tcPr>
          <w:p>
            <w:pPr>
              <w:spacing w:after="0"/>
              <w:rPr>
                <w:sz w:val="20"/>
                <w:szCs w:val="20"/>
                <w:color w:val="auto"/>
              </w:rPr>
            </w:pPr>
          </w:p>
        </w:tc>
        <w:tc>
          <w:tcPr>
            <w:tcW w:w="360" w:type="dxa"/>
            <w:vAlign w:val="bottom"/>
            <w:shd w:val="clear" w:color="auto" w:fill="F3F3F3"/>
          </w:tcPr>
          <w:p>
            <w:pPr>
              <w:spacing w:after="0"/>
              <w:rPr>
                <w:sz w:val="20"/>
                <w:szCs w:val="20"/>
                <w:color w:val="auto"/>
              </w:rPr>
            </w:pPr>
          </w:p>
        </w:tc>
        <w:tc>
          <w:tcPr>
            <w:tcW w:w="1240" w:type="dxa"/>
            <w:vAlign w:val="bottom"/>
            <w:shd w:val="clear" w:color="auto" w:fill="F3F3F3"/>
          </w:tcPr>
          <w:p>
            <w:pPr>
              <w:spacing w:after="0"/>
              <w:rPr>
                <w:sz w:val="20"/>
                <w:szCs w:val="20"/>
                <w:color w:val="auto"/>
              </w:rPr>
            </w:pPr>
          </w:p>
        </w:tc>
        <w:tc>
          <w:tcPr>
            <w:tcW w:w="100" w:type="dxa"/>
            <w:vAlign w:val="bottom"/>
            <w:shd w:val="clear" w:color="auto" w:fill="F3F3F3"/>
          </w:tcPr>
          <w:p>
            <w:pPr>
              <w:spacing w:after="0"/>
              <w:rPr>
                <w:sz w:val="20"/>
                <w:szCs w:val="20"/>
                <w:color w:val="auto"/>
              </w:rPr>
            </w:pPr>
          </w:p>
        </w:tc>
        <w:tc>
          <w:tcPr>
            <w:tcW w:w="480" w:type="dxa"/>
            <w:vAlign w:val="bottom"/>
            <w:shd w:val="clear" w:color="auto" w:fill="F3F3F3"/>
          </w:tcPr>
          <w:p>
            <w:pPr>
              <w:spacing w:after="0"/>
              <w:rPr>
                <w:sz w:val="20"/>
                <w:szCs w:val="20"/>
                <w:color w:val="auto"/>
              </w:rPr>
            </w:pPr>
          </w:p>
        </w:tc>
        <w:tc>
          <w:tcPr>
            <w:tcW w:w="1120" w:type="dxa"/>
            <w:vAlign w:val="bottom"/>
            <w:shd w:val="clear" w:color="auto" w:fill="F3F3F3"/>
          </w:tcPr>
          <w:p>
            <w:pPr>
              <w:spacing w:after="0"/>
              <w:rPr>
                <w:sz w:val="20"/>
                <w:szCs w:val="20"/>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Non-interest expenses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Compensation and benefits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296,057</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248,457</w:t>
            </w: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Occupancy and equipment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18,065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18,227</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Outside services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13,717</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15,471</w:t>
            </w: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Communications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14,910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15,441</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Marketing and business development</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15,151</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14,873</w:t>
            </w: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color w:val="auto"/>
              </w:rPr>
              <w:t>Trade execution and clearance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5,037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5,174</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Intangible asset amortization</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2,057</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2,076</w:t>
            </w:r>
          </w:p>
        </w:tc>
      </w:tr>
      <w:tr>
        <w:trPr>
          <w:trHeight w:val="229"/>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Other operating expenses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21,484</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8,120</w:t>
            </w:r>
          </w:p>
        </w:tc>
      </w:tr>
      <w:tr>
        <w:trPr>
          <w:trHeight w:val="223"/>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Total non-interest expenses</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386,478</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327,839</w:t>
            </w:r>
          </w:p>
        </w:tc>
      </w:tr>
      <w:tr>
        <w:trPr>
          <w:trHeight w:val="236"/>
        </w:trPr>
        <w:tc>
          <w:tcPr>
            <w:tcW w:w="7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3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Income before income tax expense/(benefit)</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87,931</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29,433</w:t>
            </w:r>
          </w:p>
        </w:tc>
      </w:tr>
      <w:tr>
        <w:trPr>
          <w:trHeight w:val="229"/>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Income tax expense/(benefit)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19,619</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(7,335)</w:t>
            </w:r>
          </w:p>
        </w:tc>
      </w:tr>
      <w:tr>
        <w:trPr>
          <w:trHeight w:val="223"/>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Net income</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68,312</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36,768</w:t>
            </w:r>
          </w:p>
        </w:tc>
      </w:tr>
      <w:tr>
        <w:trPr>
          <w:trHeight w:val="229"/>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Net income/(loss) attributable to noncontrolling interests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3,070</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(28,147)</w:t>
            </w:r>
          </w:p>
        </w:tc>
      </w:tr>
      <w:tr>
        <w:trPr>
          <w:trHeight w:val="248"/>
        </w:trPr>
        <w:tc>
          <w:tcPr>
            <w:tcW w:w="794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Net income attributable to Piper Sandler Companies</w:t>
            </w:r>
          </w:p>
        </w:tc>
        <w:tc>
          <w:tcPr>
            <w:tcW w:w="360" w:type="dxa"/>
            <w:vAlign w:val="bottom"/>
            <w:tcBorders>
              <w:bottom w:val="single" w:sz="8" w:color="auto"/>
            </w:tcBorders>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65,242</w:t>
            </w:r>
          </w:p>
        </w:tc>
        <w:tc>
          <w:tcPr>
            <w:tcW w:w="10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64,915</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r>
        <w:trPr>
          <w:trHeight w:val="204"/>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Earnings per common share (1)</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color w:val="auto"/>
              </w:rPr>
              <w:t>Basic</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0.96</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0.99</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0.92</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0.91</w:t>
            </w:r>
          </w:p>
        </w:tc>
      </w:tr>
      <w:tr>
        <w:trPr>
          <w:trHeight w:val="257"/>
        </w:trPr>
        <w:tc>
          <w:tcPr>
            <w:tcW w:w="7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Dividends declared per common share (1)</w:t>
            </w:r>
          </w:p>
        </w:tc>
        <w:tc>
          <w:tcPr>
            <w:tcW w:w="360" w:type="dxa"/>
            <w:vAlign w:val="bottom"/>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1.43</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0.91</w:t>
            </w:r>
          </w:p>
        </w:tc>
      </w:tr>
      <w:tr>
        <w:trPr>
          <w:trHeight w:val="257"/>
        </w:trPr>
        <w:tc>
          <w:tcPr>
            <w:tcW w:w="7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Weighted average number of common shares outstanding (1)</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color w:val="auto"/>
              </w:rPr>
              <w:t>Basic</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67,841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65,513</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Diluted</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71,235</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71,150</w:t>
            </w:r>
          </w:p>
        </w:tc>
      </w:tr>
    </w:tbl>
    <w:p>
      <w:pPr>
        <w:spacing w:after="0" w:line="131"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5"/>
          <w:szCs w:val="15"/>
          <w:i w:val="1"/>
          <w:iCs w:val="1"/>
          <w:color w:val="auto"/>
        </w:rPr>
      </w:pPr>
      <w:r>
        <w:rPr>
          <w:rFonts w:ascii="Arial" w:cs="Arial" w:eastAsia="Arial" w:hAnsi="Arial"/>
          <w:sz w:val="15"/>
          <w:szCs w:val="15"/>
          <w:i w:val="1"/>
          <w:iCs w:val="1"/>
          <w:color w:val="auto"/>
        </w:rPr>
        <w:t>Common shares and per common share information have been adjusted to reflect the four-for-one forward split of common stock, as discussed in Note 1.</w:t>
      </w:r>
    </w:p>
    <w:p>
      <w:pPr>
        <w:spacing w:after="0" w:line="94" w:lineRule="exact"/>
        <w:rPr>
          <w:rFonts w:ascii="Arial" w:cs="Arial" w:eastAsia="Arial" w:hAnsi="Arial"/>
          <w:sz w:val="15"/>
          <w:szCs w:val="15"/>
          <w:i w:val="1"/>
          <w:iCs w:val="1"/>
          <w:color w:val="auto"/>
        </w:rPr>
      </w:pPr>
    </w:p>
    <w:p>
      <w:pPr>
        <w:ind w:left="3640"/>
        <w:spacing w:after="0"/>
        <w:rPr>
          <w:rFonts w:ascii="Arial" w:cs="Arial" w:eastAsia="Arial" w:hAnsi="Arial"/>
          <w:sz w:val="15"/>
          <w:szCs w:val="15"/>
          <w:i w:val="1"/>
          <w:iCs w:val="1"/>
          <w:color w:val="auto"/>
        </w:rPr>
      </w:pPr>
      <w:r>
        <w:rPr>
          <w:rFonts w:ascii="Arial" w:cs="Arial" w:eastAsia="Arial" w:hAnsi="Arial"/>
          <w:sz w:val="17"/>
          <w:szCs w:val="17"/>
          <w:i w:val="1"/>
          <w:iCs w:val="1"/>
          <w:color w:val="auto"/>
        </w:rPr>
        <w:t>See Notes to the Consolidated Financial Statements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 (Unaudited)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r>
      <w:tr>
        <w:trPr>
          <w:trHeight w:val="235"/>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6"/>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r>
      <w:tr>
        <w:trPr>
          <w:trHeight w:val="223"/>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Net income</w:t>
            </w:r>
          </w:p>
        </w:tc>
        <w:tc>
          <w:tcPr>
            <w:tcW w:w="360" w:type="dxa"/>
            <w:vAlign w:val="bottom"/>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68,312</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36,768</w:t>
            </w:r>
          </w:p>
        </w:tc>
      </w:tr>
      <w:tr>
        <w:trPr>
          <w:trHeight w:val="229"/>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Other comprehensive income/(loss), net of tax — Foreign currency translation adjustment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(975)</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r>
      <w:tr>
        <w:trPr>
          <w:trHeight w:val="223"/>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67,337</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37,904</w:t>
            </w:r>
          </w:p>
        </w:tc>
      </w:tr>
      <w:tr>
        <w:trPr>
          <w:trHeight w:val="229"/>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Comprehensive income/(loss) attributable to noncontrolling interests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3,070</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(28,147)</w:t>
            </w:r>
          </w:p>
        </w:tc>
      </w:tr>
      <w:tr>
        <w:trPr>
          <w:trHeight w:val="248"/>
        </w:trPr>
        <w:tc>
          <w:tcPr>
            <w:tcW w:w="794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Comprehensive income attributable to Piper Sandler Companies</w:t>
            </w:r>
          </w:p>
        </w:tc>
        <w:tc>
          <w:tcPr>
            <w:tcW w:w="360" w:type="dxa"/>
            <w:vAlign w:val="bottom"/>
            <w:tcBorders>
              <w:bottom w:val="single" w:sz="8" w:color="auto"/>
            </w:tcBorders>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64,267</w:t>
            </w:r>
          </w:p>
        </w:tc>
        <w:tc>
          <w:tcPr>
            <w:tcW w:w="10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66,051</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Changes in Shareholders' Equity (Unaudited)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Accumulated</w:t>
            </w:r>
          </w:p>
        </w:tc>
        <w:tc>
          <w:tcPr>
            <w:tcW w:w="100" w:type="dxa"/>
            <w:vAlign w:val="bottom"/>
          </w:tcPr>
          <w:p>
            <w:pPr>
              <w:spacing w:after="0"/>
              <w:rPr>
                <w:sz w:val="13"/>
                <w:szCs w:val="13"/>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Total</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80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Common</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Additional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6"/>
              </w:rPr>
              <w:t>Common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62"/>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75"/>
        </w:trPr>
        <w:tc>
          <w:tcPr>
            <w:tcW w:w="1800" w:type="dxa"/>
            <w:vAlign w:val="bottom"/>
          </w:tcPr>
          <w:p>
            <w:pPr>
              <w:ind w:left="20"/>
              <w:spacing w:after="0"/>
              <w:rPr>
                <w:sz w:val="20"/>
                <w:szCs w:val="20"/>
                <w:color w:val="auto"/>
              </w:rPr>
            </w:pPr>
            <w:r>
              <w:rPr>
                <w:rFonts w:ascii="Arial" w:cs="Arial" w:eastAsia="Arial" w:hAnsi="Arial"/>
                <w:sz w:val="12"/>
                <w:szCs w:val="12"/>
                <w:i w:val="1"/>
                <w:iCs w:val="1"/>
                <w:color w:val="auto"/>
              </w:rPr>
              <w:t>(Amounts in thousands,</w:t>
            </w:r>
          </w:p>
        </w:tc>
        <w:tc>
          <w:tcPr>
            <w:tcW w:w="12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9"/>
              </w:rPr>
              <w:t>Shares</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Common</w:t>
            </w:r>
          </w:p>
        </w:tc>
        <w:tc>
          <w:tcPr>
            <w:tcW w:w="100" w:type="dxa"/>
            <w:vAlign w:val="bottom"/>
          </w:tcPr>
          <w:p>
            <w:pPr>
              <w:spacing w:after="0"/>
              <w:rPr>
                <w:sz w:val="15"/>
                <w:szCs w:val="15"/>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Paid-In</w:t>
            </w:r>
          </w:p>
        </w:tc>
        <w:tc>
          <w:tcPr>
            <w:tcW w:w="10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Treasury</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Comprehensive</w:t>
            </w:r>
          </w:p>
        </w:tc>
        <w:tc>
          <w:tcPr>
            <w:tcW w:w="100" w:type="dxa"/>
            <w:vAlign w:val="bottom"/>
          </w:tcPr>
          <w:p>
            <w:pPr>
              <w:spacing w:after="0"/>
              <w:rPr>
                <w:sz w:val="15"/>
                <w:szCs w:val="15"/>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Shareholders'</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8"/>
              </w:rPr>
              <w:t>Noncontrolling</w:t>
            </w:r>
          </w:p>
        </w:tc>
        <w:tc>
          <w:tcPr>
            <w:tcW w:w="120" w:type="dxa"/>
            <w:vAlign w:val="bottom"/>
          </w:tcPr>
          <w:p>
            <w:pPr>
              <w:spacing w:after="0"/>
              <w:rPr>
                <w:sz w:val="15"/>
                <w:szCs w:val="15"/>
                <w:color w:val="auto"/>
              </w:rPr>
            </w:pPr>
          </w:p>
        </w:tc>
        <w:tc>
          <w:tcPr>
            <w:tcW w:w="960" w:type="dxa"/>
            <w:vAlign w:val="bottom"/>
          </w:tcPr>
          <w:p>
            <w:pPr>
              <w:jc w:val="center"/>
              <w:ind w:right="62"/>
              <w:spacing w:after="0"/>
              <w:rPr>
                <w:sz w:val="20"/>
                <w:szCs w:val="20"/>
                <w:color w:val="auto"/>
              </w:rPr>
            </w:pPr>
            <w:r>
              <w:rPr>
                <w:rFonts w:ascii="Arial" w:cs="Arial" w:eastAsia="Arial" w:hAnsi="Arial"/>
                <w:sz w:val="12"/>
                <w:szCs w:val="12"/>
                <w:b w:val="1"/>
                <w:bCs w:val="1"/>
                <w:color w:val="auto"/>
                <w:w w:val="95"/>
              </w:rPr>
              <w:t>Shareholders'</w:t>
            </w:r>
          </w:p>
        </w:tc>
        <w:tc>
          <w:tcPr>
            <w:tcW w:w="0" w:type="dxa"/>
            <w:vAlign w:val="bottom"/>
          </w:tcPr>
          <w:p>
            <w:pPr>
              <w:spacing w:after="0"/>
              <w:rPr>
                <w:sz w:val="1"/>
                <w:szCs w:val="1"/>
                <w:color w:val="auto"/>
              </w:rPr>
            </w:pPr>
          </w:p>
        </w:tc>
      </w:tr>
      <w:tr>
        <w:trPr>
          <w:trHeight w:val="182"/>
        </w:trPr>
        <w:tc>
          <w:tcPr>
            <w:tcW w:w="1800" w:type="dxa"/>
            <w:vAlign w:val="bottom"/>
          </w:tcPr>
          <w:p>
            <w:pPr>
              <w:ind w:left="60"/>
              <w:spacing w:after="0"/>
              <w:rPr>
                <w:sz w:val="20"/>
                <w:szCs w:val="20"/>
                <w:color w:val="auto"/>
              </w:rPr>
            </w:pPr>
            <w:r>
              <w:rPr>
                <w:rFonts w:ascii="Arial" w:cs="Arial" w:eastAsia="Arial" w:hAnsi="Arial"/>
                <w:sz w:val="12"/>
                <w:szCs w:val="12"/>
                <w:i w:val="1"/>
                <w:iCs w:val="1"/>
                <w:color w:val="auto"/>
              </w:rPr>
              <w:t>except share amounts)</w:t>
            </w:r>
          </w:p>
        </w:tc>
        <w:tc>
          <w:tcPr>
            <w:tcW w:w="12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Outstanding (1)</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Stock (1)</w:t>
            </w:r>
          </w:p>
        </w:tc>
        <w:tc>
          <w:tcPr>
            <w:tcW w:w="100" w:type="dxa"/>
            <w:vAlign w:val="bottom"/>
          </w:tcPr>
          <w:p>
            <w:pPr>
              <w:spacing w:after="0"/>
              <w:rPr>
                <w:sz w:val="15"/>
                <w:szCs w:val="15"/>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6"/>
              </w:rPr>
              <w:t>Capital (1)</w:t>
            </w: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Earnings</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7"/>
              </w:rPr>
              <w:t>Stock</w:t>
            </w:r>
          </w:p>
        </w:tc>
        <w:tc>
          <w:tcPr>
            <w:tcW w:w="120" w:type="dxa"/>
            <w:vAlign w:val="bottom"/>
          </w:tcPr>
          <w:p>
            <w:pPr>
              <w:spacing w:after="0"/>
              <w:rPr>
                <w:sz w:val="15"/>
                <w:szCs w:val="15"/>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Income/(Loss)</w:t>
            </w:r>
          </w:p>
        </w:tc>
        <w:tc>
          <w:tcPr>
            <w:tcW w:w="100" w:type="dxa"/>
            <w:vAlign w:val="bottom"/>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5"/>
                <w:szCs w:val="15"/>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Interests</w:t>
            </w:r>
          </w:p>
        </w:tc>
        <w:tc>
          <w:tcPr>
            <w:tcW w:w="120" w:type="dxa"/>
            <w:vAlign w:val="bottom"/>
          </w:tcPr>
          <w:p>
            <w:pPr>
              <w:spacing w:after="0"/>
              <w:rPr>
                <w:sz w:val="15"/>
                <w:szCs w:val="15"/>
                <w:color w:val="auto"/>
              </w:rPr>
            </w:pPr>
          </w:p>
        </w:tc>
        <w:tc>
          <w:tcPr>
            <w:tcW w:w="960" w:type="dxa"/>
            <w:vAlign w:val="bottom"/>
          </w:tcPr>
          <w:p>
            <w:pPr>
              <w:jc w:val="center"/>
              <w:ind w:right="62"/>
              <w:spacing w:after="0"/>
              <w:rPr>
                <w:sz w:val="20"/>
                <w:szCs w:val="20"/>
                <w:color w:val="auto"/>
              </w:rPr>
            </w:pPr>
            <w:r>
              <w:rPr>
                <w:rFonts w:ascii="Arial" w:cs="Arial" w:eastAsia="Arial" w:hAnsi="Arial"/>
                <w:sz w:val="12"/>
                <w:szCs w:val="12"/>
                <w:b w:val="1"/>
                <w:bCs w:val="1"/>
                <w:color w:val="auto"/>
                <w:w w:val="98"/>
              </w:rPr>
              <w:t>Equity</w:t>
            </w:r>
          </w:p>
        </w:tc>
        <w:tc>
          <w:tcPr>
            <w:tcW w:w="0" w:type="dxa"/>
            <w:vAlign w:val="bottom"/>
          </w:tcPr>
          <w:p>
            <w:pPr>
              <w:spacing w:after="0"/>
              <w:rPr>
                <w:sz w:val="1"/>
                <w:szCs w:val="1"/>
                <w:color w:val="auto"/>
              </w:rPr>
            </w:pPr>
          </w:p>
        </w:tc>
      </w:tr>
      <w:tr>
        <w:trPr>
          <w:trHeight w:val="111"/>
        </w:trPr>
        <w:tc>
          <w:tcPr>
            <w:tcW w:w="1800" w:type="dxa"/>
            <w:vAlign w:val="bottom"/>
            <w:tcBorders>
              <w:top w:val="single" w:sz="8" w:color="F3F3F3"/>
            </w:tcBorders>
            <w:shd w:val="clear" w:color="auto" w:fill="F3F3F3"/>
          </w:tcPr>
          <w:p>
            <w:pPr>
              <w:ind w:left="20"/>
              <w:spacing w:after="0" w:line="111" w:lineRule="exact"/>
              <w:rPr>
                <w:sz w:val="20"/>
                <w:szCs w:val="20"/>
                <w:color w:val="auto"/>
              </w:rPr>
            </w:pPr>
            <w:r>
              <w:rPr>
                <w:rFonts w:ascii="Arial" w:cs="Arial" w:eastAsia="Arial" w:hAnsi="Arial"/>
                <w:sz w:val="12"/>
                <w:szCs w:val="12"/>
                <w:b w:val="1"/>
                <w:bCs w:val="1"/>
                <w:color w:val="auto"/>
              </w:rPr>
              <w:t>Balance at December 31,</w:t>
            </w:r>
          </w:p>
        </w:tc>
        <w:tc>
          <w:tcPr>
            <w:tcW w:w="1120" w:type="dxa"/>
            <w:vAlign w:val="bottom"/>
            <w:tcBorders>
              <w:top w:val="single" w:sz="8" w:color="auto"/>
            </w:tcBorders>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67,483,432</w:t>
            </w:r>
          </w:p>
        </w:tc>
        <w:tc>
          <w:tcPr>
            <w:tcW w:w="100" w:type="dxa"/>
            <w:vAlign w:val="bottom"/>
            <w:tcBorders>
              <w:top w:val="single" w:sz="8" w:color="F3F3F3"/>
            </w:tcBorders>
            <w:shd w:val="clear" w:color="auto" w:fill="F3F3F3"/>
          </w:tcPr>
          <w:p>
            <w:pPr>
              <w:spacing w:after="0"/>
              <w:rPr>
                <w:sz w:val="9"/>
                <w:szCs w:val="9"/>
                <w:color w:val="auto"/>
              </w:rPr>
            </w:pPr>
          </w:p>
        </w:tc>
        <w:tc>
          <w:tcPr>
            <w:tcW w:w="10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tcBorders>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779</w:t>
            </w:r>
          </w:p>
        </w:tc>
        <w:tc>
          <w:tcPr>
            <w:tcW w:w="100" w:type="dxa"/>
            <w:vAlign w:val="bottom"/>
            <w:tcBorders>
              <w:top w:val="single" w:sz="8" w:color="F3F3F3"/>
            </w:tcBorders>
            <w:shd w:val="clear" w:color="auto" w:fill="F3F3F3"/>
          </w:tcPr>
          <w:p>
            <w:pPr>
              <w:spacing w:after="0"/>
              <w:rPr>
                <w:sz w:val="9"/>
                <w:szCs w:val="9"/>
                <w:color w:val="auto"/>
              </w:rPr>
            </w:pPr>
          </w:p>
        </w:tc>
        <w:tc>
          <w:tcPr>
            <w:tcW w:w="10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tcBorders>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957,145</w:t>
            </w:r>
          </w:p>
        </w:tc>
        <w:tc>
          <w:tcPr>
            <w:tcW w:w="80" w:type="dxa"/>
            <w:vAlign w:val="bottom"/>
            <w:tcBorders>
              <w:top w:val="single" w:sz="8" w:color="F3F3F3"/>
            </w:tcBorders>
            <w:shd w:val="clear" w:color="auto" w:fill="F3F3F3"/>
          </w:tcPr>
          <w:p>
            <w:pPr>
              <w:spacing w:after="0"/>
              <w:rPr>
                <w:sz w:val="9"/>
                <w:szCs w:val="9"/>
                <w:color w:val="auto"/>
              </w:rPr>
            </w:pPr>
          </w:p>
        </w:tc>
        <w:tc>
          <w:tcPr>
            <w:tcW w:w="10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rPr>
              <w:t>728,931</w:t>
            </w:r>
          </w:p>
        </w:tc>
        <w:tc>
          <w:tcPr>
            <w:tcW w:w="100" w:type="dxa"/>
            <w:vAlign w:val="bottom"/>
            <w:tcBorders>
              <w:top w:val="single" w:sz="8" w:color="F3F3F3"/>
            </w:tcBorders>
            <w:shd w:val="clear" w:color="auto" w:fill="F3F3F3"/>
          </w:tcPr>
          <w:p>
            <w:pPr>
              <w:spacing w:after="0"/>
              <w:rPr>
                <w:sz w:val="9"/>
                <w:szCs w:val="9"/>
                <w:color w:val="auto"/>
              </w:rPr>
            </w:pPr>
          </w:p>
        </w:tc>
        <w:tc>
          <w:tcPr>
            <w:tcW w:w="12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rPr>
              <w:t>(318,581)</w:t>
            </w:r>
          </w:p>
        </w:tc>
        <w:tc>
          <w:tcPr>
            <w:tcW w:w="100" w:type="dxa"/>
            <w:vAlign w:val="bottom"/>
            <w:tcBorders>
              <w:top w:val="single" w:sz="8" w:color="F3F3F3"/>
            </w:tcBorders>
            <w:shd w:val="clear" w:color="auto" w:fill="F3F3F3"/>
          </w:tcPr>
          <w:p>
            <w:pPr>
              <w:spacing w:after="0"/>
              <w:rPr>
                <w:sz w:val="9"/>
                <w:szCs w:val="9"/>
                <w:color w:val="auto"/>
              </w:rPr>
            </w:pPr>
          </w:p>
        </w:tc>
        <w:tc>
          <w:tcPr>
            <w:tcW w:w="12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top w:val="single" w:sz="8" w:color="auto"/>
            </w:tcBorders>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2,733</w:t>
            </w:r>
          </w:p>
        </w:tc>
        <w:tc>
          <w:tcPr>
            <w:tcW w:w="100" w:type="dxa"/>
            <w:vAlign w:val="bottom"/>
            <w:tcBorders>
              <w:top w:val="single" w:sz="8" w:color="F3F3F3"/>
            </w:tcBorders>
            <w:shd w:val="clear" w:color="auto" w:fill="F3F3F3"/>
          </w:tcPr>
          <w:p>
            <w:pPr>
              <w:spacing w:after="0"/>
              <w:rPr>
                <w:sz w:val="9"/>
                <w:szCs w:val="9"/>
                <w:color w:val="auto"/>
              </w:rPr>
            </w:pPr>
          </w:p>
        </w:tc>
        <w:tc>
          <w:tcPr>
            <w:tcW w:w="10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960" w:type="dxa"/>
            <w:vAlign w:val="bottom"/>
            <w:tcBorders>
              <w:top w:val="single" w:sz="8" w:color="auto"/>
            </w:tcBorders>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1,371,007</w:t>
            </w:r>
          </w:p>
        </w:tc>
        <w:tc>
          <w:tcPr>
            <w:tcW w:w="100" w:type="dxa"/>
            <w:vAlign w:val="bottom"/>
            <w:tcBorders>
              <w:top w:val="single" w:sz="8" w:color="F3F3F3"/>
            </w:tcBorders>
            <w:shd w:val="clear" w:color="auto" w:fill="F3F3F3"/>
          </w:tcPr>
          <w:p>
            <w:pPr>
              <w:spacing w:after="0"/>
              <w:rPr>
                <w:sz w:val="9"/>
                <w:szCs w:val="9"/>
                <w:color w:val="auto"/>
              </w:rPr>
            </w:pPr>
          </w:p>
        </w:tc>
        <w:tc>
          <w:tcPr>
            <w:tcW w:w="10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Borders>
              <w:top w:val="single" w:sz="8" w:color="auto"/>
            </w:tcBorders>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211,786</w:t>
            </w:r>
          </w:p>
        </w:tc>
        <w:tc>
          <w:tcPr>
            <w:tcW w:w="100" w:type="dxa"/>
            <w:vAlign w:val="bottom"/>
            <w:tcBorders>
              <w:top w:val="single" w:sz="8" w:color="F3F3F3"/>
            </w:tcBorders>
            <w:shd w:val="clear" w:color="auto" w:fill="F3F3F3"/>
          </w:tcPr>
          <w:p>
            <w:pPr>
              <w:spacing w:after="0"/>
              <w:rPr>
                <w:sz w:val="9"/>
                <w:szCs w:val="9"/>
                <w:color w:val="auto"/>
              </w:rPr>
            </w:pPr>
          </w:p>
        </w:tc>
        <w:tc>
          <w:tcPr>
            <w:tcW w:w="12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960" w:type="dxa"/>
            <w:vAlign w:val="bottom"/>
            <w:tcBorders>
              <w:top w:val="single" w:sz="8" w:color="auto"/>
            </w:tcBorders>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1,582,793</w:t>
            </w:r>
          </w:p>
        </w:tc>
        <w:tc>
          <w:tcPr>
            <w:tcW w:w="0" w:type="dxa"/>
            <w:vAlign w:val="bottom"/>
          </w:tcPr>
          <w:p>
            <w:pPr>
              <w:spacing w:after="0"/>
              <w:rPr>
                <w:sz w:val="1"/>
                <w:szCs w:val="1"/>
                <w:color w:val="auto"/>
              </w:rPr>
            </w:pPr>
          </w:p>
        </w:tc>
      </w:tr>
      <w:tr>
        <w:trPr>
          <w:trHeight w:val="158"/>
        </w:trPr>
        <w:tc>
          <w:tcPr>
            <w:tcW w:w="1800" w:type="dxa"/>
            <w:vAlign w:val="bottom"/>
            <w:shd w:val="clear" w:color="auto" w:fill="F3F3F3"/>
          </w:tcPr>
          <w:p>
            <w:pPr>
              <w:ind w:left="100"/>
              <w:spacing w:after="0"/>
              <w:rPr>
                <w:sz w:val="20"/>
                <w:szCs w:val="20"/>
                <w:color w:val="auto"/>
              </w:rPr>
            </w:pPr>
            <w:r>
              <w:rPr>
                <w:rFonts w:ascii="Arial" w:cs="Arial" w:eastAsia="Arial" w:hAnsi="Arial"/>
                <w:sz w:val="12"/>
                <w:szCs w:val="12"/>
                <w:b w:val="1"/>
                <w:bCs w:val="1"/>
                <w:color w:val="auto"/>
              </w:rPr>
              <w:t>2025</w:t>
            </w:r>
          </w:p>
        </w:tc>
        <w:tc>
          <w:tcPr>
            <w:tcW w:w="112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vMerge w:val="continue"/>
            <w:shd w:val="clear" w:color="auto" w:fill="F3F3F3"/>
          </w:tcPr>
          <w:p>
            <w:pPr>
              <w:spacing w:after="0"/>
              <w:rPr>
                <w:sz w:val="13"/>
                <w:szCs w:val="13"/>
                <w:color w:val="auto"/>
              </w:rPr>
            </w:pPr>
          </w:p>
        </w:tc>
        <w:tc>
          <w:tcPr>
            <w:tcW w:w="64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vMerge w:val="continue"/>
            <w:shd w:val="clear" w:color="auto" w:fill="F3F3F3"/>
          </w:tcPr>
          <w:p>
            <w:pPr>
              <w:spacing w:after="0"/>
              <w:rPr>
                <w:sz w:val="13"/>
                <w:szCs w:val="13"/>
                <w:color w:val="auto"/>
              </w:rPr>
            </w:pPr>
          </w:p>
        </w:tc>
        <w:tc>
          <w:tcPr>
            <w:tcW w:w="740" w:type="dxa"/>
            <w:vAlign w:val="bottom"/>
            <w:vMerge w:val="continue"/>
            <w:shd w:val="clear" w:color="auto" w:fill="F3F3F3"/>
          </w:tcPr>
          <w:p>
            <w:pPr>
              <w:spacing w:after="0"/>
              <w:rPr>
                <w:sz w:val="13"/>
                <w:szCs w:val="13"/>
                <w:color w:val="auto"/>
              </w:rPr>
            </w:pPr>
          </w:p>
        </w:tc>
        <w:tc>
          <w:tcPr>
            <w:tcW w:w="80" w:type="dxa"/>
            <w:vAlign w:val="bottom"/>
            <w:shd w:val="clear" w:color="auto" w:fill="F3F3F3"/>
          </w:tcPr>
          <w:p>
            <w:pPr>
              <w:spacing w:after="0"/>
              <w:rPr>
                <w:sz w:val="13"/>
                <w:szCs w:val="13"/>
                <w:color w:val="auto"/>
              </w:rPr>
            </w:pPr>
          </w:p>
        </w:tc>
        <w:tc>
          <w:tcPr>
            <w:tcW w:w="100" w:type="dxa"/>
            <w:vAlign w:val="bottom"/>
            <w:vMerge w:val="continue"/>
            <w:shd w:val="clear" w:color="auto" w:fill="F3F3F3"/>
          </w:tcPr>
          <w:p>
            <w:pPr>
              <w:spacing w:after="0"/>
              <w:rPr>
                <w:sz w:val="13"/>
                <w:szCs w:val="13"/>
                <w:color w:val="auto"/>
              </w:rPr>
            </w:pPr>
          </w:p>
        </w:tc>
        <w:tc>
          <w:tcPr>
            <w:tcW w:w="64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20" w:type="dxa"/>
            <w:vAlign w:val="bottom"/>
            <w:vMerge w:val="continue"/>
            <w:shd w:val="clear" w:color="auto" w:fill="F3F3F3"/>
          </w:tcPr>
          <w:p>
            <w:pPr>
              <w:spacing w:after="0"/>
              <w:rPr>
                <w:sz w:val="13"/>
                <w:szCs w:val="13"/>
                <w:color w:val="auto"/>
              </w:rPr>
            </w:pPr>
          </w:p>
        </w:tc>
        <w:tc>
          <w:tcPr>
            <w:tcW w:w="6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20" w:type="dxa"/>
            <w:vAlign w:val="bottom"/>
            <w:vMerge w:val="continue"/>
            <w:shd w:val="clear" w:color="auto" w:fill="F3F3F3"/>
          </w:tcPr>
          <w:p>
            <w:pPr>
              <w:spacing w:after="0"/>
              <w:rPr>
                <w:sz w:val="13"/>
                <w:szCs w:val="13"/>
                <w:color w:val="auto"/>
              </w:rPr>
            </w:pPr>
          </w:p>
        </w:tc>
        <w:tc>
          <w:tcPr>
            <w:tcW w:w="10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vMerge w:val="continue"/>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vMerge w:val="continue"/>
            <w:shd w:val="clear" w:color="auto" w:fill="F3F3F3"/>
          </w:tcPr>
          <w:p>
            <w:pPr>
              <w:spacing w:after="0"/>
              <w:rPr>
                <w:sz w:val="13"/>
                <w:szCs w:val="13"/>
                <w:color w:val="auto"/>
              </w:rPr>
            </w:pPr>
          </w:p>
        </w:tc>
        <w:tc>
          <w:tcPr>
            <w:tcW w:w="102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20" w:type="dxa"/>
            <w:vAlign w:val="bottom"/>
            <w:vMerge w:val="continue"/>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00" w:type="dxa"/>
            <w:vAlign w:val="bottom"/>
          </w:tcPr>
          <w:p>
            <w:pPr>
              <w:ind w:left="100"/>
              <w:spacing w:after="0"/>
              <w:rPr>
                <w:sz w:val="20"/>
                <w:szCs w:val="20"/>
                <w:color w:val="auto"/>
              </w:rPr>
            </w:pPr>
            <w:r>
              <w:rPr>
                <w:rFonts w:ascii="Arial" w:cs="Arial" w:eastAsia="Arial" w:hAnsi="Arial"/>
                <w:sz w:val="12"/>
                <w:szCs w:val="12"/>
                <w:color w:val="auto"/>
              </w:rPr>
              <w:t>Net income</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65,242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65,242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3,070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68,312</w:t>
            </w:r>
          </w:p>
        </w:tc>
        <w:tc>
          <w:tcPr>
            <w:tcW w:w="0" w:type="dxa"/>
            <w:vAlign w:val="bottom"/>
          </w:tcPr>
          <w:p>
            <w:pPr>
              <w:spacing w:after="0"/>
              <w:rPr>
                <w:sz w:val="1"/>
                <w:szCs w:val="1"/>
                <w:color w:val="auto"/>
              </w:rPr>
            </w:pPr>
          </w:p>
        </w:tc>
      </w:tr>
      <w:tr>
        <w:trPr>
          <w:trHeight w:val="185"/>
        </w:trPr>
        <w:tc>
          <w:tcPr>
            <w:tcW w:w="1800" w:type="dxa"/>
            <w:vAlign w:val="bottom"/>
            <w:shd w:val="clear" w:color="auto" w:fill="F3F3F3"/>
          </w:tcPr>
          <w:p>
            <w:pPr>
              <w:ind w:left="100"/>
              <w:spacing w:after="0"/>
              <w:rPr>
                <w:sz w:val="20"/>
                <w:szCs w:val="20"/>
                <w:color w:val="auto"/>
              </w:rPr>
            </w:pPr>
            <w:r>
              <w:rPr>
                <w:rFonts w:ascii="Arial" w:cs="Arial" w:eastAsia="Arial" w:hAnsi="Arial"/>
                <w:sz w:val="12"/>
                <w:szCs w:val="12"/>
                <w:color w:val="auto"/>
              </w:rPr>
              <w:t>Dividends declared</w:t>
            </w:r>
          </w:p>
        </w:tc>
        <w:tc>
          <w:tcPr>
            <w:tcW w:w="122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74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820" w:type="dxa"/>
            <w:vAlign w:val="bottom"/>
            <w:gridSpan w:val="2"/>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640" w:type="dxa"/>
            <w:vAlign w:val="bottom"/>
            <w:shd w:val="clear" w:color="auto" w:fill="F3F3F3"/>
          </w:tcPr>
          <w:p>
            <w:pPr>
              <w:jc w:val="right"/>
              <w:spacing w:after="0"/>
              <w:rPr>
                <w:sz w:val="20"/>
                <w:szCs w:val="20"/>
                <w:color w:val="auto"/>
              </w:rPr>
            </w:pPr>
            <w:r>
              <w:rPr>
                <w:rFonts w:ascii="Arial" w:cs="Arial" w:eastAsia="Arial" w:hAnsi="Arial"/>
                <w:sz w:val="12"/>
                <w:szCs w:val="12"/>
                <w:color w:val="auto"/>
              </w:rPr>
              <w:t>(113,633)</w:t>
            </w:r>
          </w:p>
        </w:tc>
        <w:tc>
          <w:tcPr>
            <w:tcW w:w="100" w:type="dxa"/>
            <w:vAlign w:val="bottom"/>
            <w:shd w:val="clear" w:color="auto" w:fill="F3F3F3"/>
          </w:tcPr>
          <w:p>
            <w:pPr>
              <w:spacing w:after="0"/>
              <w:rPr>
                <w:sz w:val="16"/>
                <w:szCs w:val="16"/>
                <w:color w:val="auto"/>
              </w:rPr>
            </w:pPr>
          </w:p>
        </w:tc>
        <w:tc>
          <w:tcPr>
            <w:tcW w:w="120" w:type="dxa"/>
            <w:vAlign w:val="bottom"/>
            <w:shd w:val="clear" w:color="auto" w:fill="F3F3F3"/>
          </w:tcPr>
          <w:p>
            <w:pPr>
              <w:spacing w:after="0"/>
              <w:rPr>
                <w:sz w:val="16"/>
                <w:szCs w:val="16"/>
                <w:color w:val="auto"/>
              </w:rPr>
            </w:pPr>
          </w:p>
        </w:tc>
        <w:tc>
          <w:tcPr>
            <w:tcW w:w="76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6"/>
                <w:szCs w:val="16"/>
                <w:color w:val="auto"/>
              </w:rPr>
            </w:pPr>
          </w:p>
        </w:tc>
        <w:tc>
          <w:tcPr>
            <w:tcW w:w="116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960" w:type="dxa"/>
            <w:vAlign w:val="bottom"/>
            <w:shd w:val="clear" w:color="auto" w:fill="F3F3F3"/>
          </w:tcPr>
          <w:p>
            <w:pPr>
              <w:jc w:val="right"/>
              <w:spacing w:after="0"/>
              <w:rPr>
                <w:sz w:val="20"/>
                <w:szCs w:val="20"/>
                <w:color w:val="auto"/>
              </w:rPr>
            </w:pPr>
            <w:r>
              <w:rPr>
                <w:rFonts w:ascii="Arial" w:cs="Arial" w:eastAsia="Arial" w:hAnsi="Arial"/>
                <w:sz w:val="12"/>
                <w:szCs w:val="12"/>
                <w:color w:val="auto"/>
              </w:rPr>
              <w:t>(113,633)</w:t>
            </w:r>
          </w:p>
        </w:tc>
        <w:tc>
          <w:tcPr>
            <w:tcW w:w="100" w:type="dxa"/>
            <w:vAlign w:val="bottom"/>
            <w:shd w:val="clear" w:color="auto" w:fill="F3F3F3"/>
          </w:tcPr>
          <w:p>
            <w:pPr>
              <w:spacing w:after="0"/>
              <w:rPr>
                <w:sz w:val="16"/>
                <w:szCs w:val="16"/>
                <w:color w:val="auto"/>
              </w:rPr>
            </w:pPr>
          </w:p>
        </w:tc>
        <w:tc>
          <w:tcPr>
            <w:tcW w:w="100" w:type="dxa"/>
            <w:vAlign w:val="bottom"/>
            <w:shd w:val="clear" w:color="auto" w:fill="F3F3F3"/>
          </w:tcPr>
          <w:p>
            <w:pPr>
              <w:spacing w:after="0"/>
              <w:rPr>
                <w:sz w:val="16"/>
                <w:szCs w:val="16"/>
                <w:color w:val="auto"/>
              </w:rPr>
            </w:pPr>
          </w:p>
        </w:tc>
        <w:tc>
          <w:tcPr>
            <w:tcW w:w="112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6"/>
                <w:szCs w:val="16"/>
                <w:color w:val="auto"/>
              </w:rPr>
            </w:pPr>
          </w:p>
        </w:tc>
        <w:tc>
          <w:tcPr>
            <w:tcW w:w="960" w:type="dxa"/>
            <w:vAlign w:val="bottom"/>
            <w:shd w:val="clear" w:color="auto" w:fill="F3F3F3"/>
          </w:tcPr>
          <w:p>
            <w:pPr>
              <w:jc w:val="right"/>
              <w:spacing w:after="0"/>
              <w:rPr>
                <w:sz w:val="20"/>
                <w:szCs w:val="20"/>
                <w:color w:val="auto"/>
              </w:rPr>
            </w:pPr>
            <w:r>
              <w:rPr>
                <w:rFonts w:ascii="Arial" w:cs="Arial" w:eastAsia="Arial" w:hAnsi="Arial"/>
                <w:sz w:val="12"/>
                <w:szCs w:val="12"/>
                <w:color w:val="auto"/>
              </w:rPr>
              <w:t>(113,633)</w:t>
            </w:r>
          </w:p>
        </w:tc>
        <w:tc>
          <w:tcPr>
            <w:tcW w:w="0" w:type="dxa"/>
            <w:vAlign w:val="bottom"/>
          </w:tcPr>
          <w:p>
            <w:pPr>
              <w:spacing w:after="0"/>
              <w:rPr>
                <w:sz w:val="1"/>
                <w:szCs w:val="1"/>
                <w:color w:val="auto"/>
              </w:rPr>
            </w:pPr>
          </w:p>
        </w:tc>
      </w:tr>
      <w:tr>
        <w:trPr>
          <w:trHeight w:val="127"/>
        </w:trPr>
        <w:tc>
          <w:tcPr>
            <w:tcW w:w="1800" w:type="dxa"/>
            <w:vAlign w:val="bottom"/>
          </w:tcPr>
          <w:p>
            <w:pPr>
              <w:ind w:left="100"/>
              <w:spacing w:after="0" w:line="128" w:lineRule="exact"/>
              <w:rPr>
                <w:sz w:val="20"/>
                <w:szCs w:val="20"/>
                <w:color w:val="auto"/>
              </w:rPr>
            </w:pPr>
            <w:r>
              <w:rPr>
                <w:rFonts w:ascii="Arial" w:cs="Arial" w:eastAsia="Arial" w:hAnsi="Arial"/>
                <w:sz w:val="12"/>
                <w:szCs w:val="12"/>
                <w:color w:val="auto"/>
              </w:rPr>
              <w:t>Amortization/issuance of</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89,252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color w:val="auto"/>
              </w:rPr>
              <w:t>89,252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color w:val="auto"/>
              </w:rPr>
              <w:t>89,252</w:t>
            </w:r>
          </w:p>
        </w:tc>
        <w:tc>
          <w:tcPr>
            <w:tcW w:w="0" w:type="dxa"/>
            <w:vAlign w:val="bottom"/>
          </w:tcPr>
          <w:p>
            <w:pPr>
              <w:spacing w:after="0"/>
              <w:rPr>
                <w:sz w:val="1"/>
                <w:szCs w:val="1"/>
                <w:color w:val="auto"/>
              </w:rPr>
            </w:pPr>
          </w:p>
        </w:tc>
      </w:tr>
      <w:tr>
        <w:trPr>
          <w:trHeight w:val="154"/>
        </w:trPr>
        <w:tc>
          <w:tcPr>
            <w:tcW w:w="1800" w:type="dxa"/>
            <w:vAlign w:val="bottom"/>
          </w:tcPr>
          <w:p>
            <w:pPr>
              <w:ind w:left="180"/>
              <w:spacing w:after="0"/>
              <w:rPr>
                <w:sz w:val="20"/>
                <w:szCs w:val="20"/>
                <w:color w:val="auto"/>
              </w:rPr>
            </w:pPr>
            <w:r>
              <w:rPr>
                <w:rFonts w:ascii="Arial" w:cs="Arial" w:eastAsia="Arial" w:hAnsi="Arial"/>
                <w:sz w:val="12"/>
                <w:szCs w:val="12"/>
                <w:color w:val="auto"/>
              </w:rPr>
              <w:t>restricted stock (2)</w:t>
            </w: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00" w:type="dxa"/>
            <w:vAlign w:val="bottom"/>
            <w:shd w:val="clear" w:color="auto" w:fill="F3F3F3"/>
          </w:tcPr>
          <w:p>
            <w:pPr>
              <w:ind w:left="100"/>
              <w:spacing w:after="0" w:line="130" w:lineRule="exact"/>
              <w:rPr>
                <w:sz w:val="20"/>
                <w:szCs w:val="20"/>
                <w:color w:val="auto"/>
              </w:rPr>
            </w:pPr>
            <w:r>
              <w:rPr>
                <w:rFonts w:ascii="Arial" w:cs="Arial" w:eastAsia="Arial" w:hAnsi="Arial"/>
                <w:sz w:val="12"/>
                <w:szCs w:val="12"/>
                <w:color w:val="auto"/>
              </w:rPr>
              <w:t>Repurchase of common stock</w:t>
            </w:r>
          </w:p>
        </w:tc>
        <w:tc>
          <w:tcPr>
            <w:tcW w:w="112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64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740" w:type="dxa"/>
            <w:vAlign w:val="bottom"/>
            <w:shd w:val="clear" w:color="auto" w:fill="F3F3F3"/>
          </w:tcPr>
          <w:p>
            <w:pPr>
              <w:spacing w:after="0"/>
              <w:rPr>
                <w:sz w:val="11"/>
                <w:szCs w:val="11"/>
                <w:color w:val="auto"/>
              </w:rPr>
            </w:pPr>
          </w:p>
        </w:tc>
        <w:tc>
          <w:tcPr>
            <w:tcW w:w="8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64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20" w:type="dxa"/>
            <w:vAlign w:val="bottom"/>
            <w:shd w:val="clear" w:color="auto" w:fill="F3F3F3"/>
          </w:tcPr>
          <w:p>
            <w:pPr>
              <w:spacing w:after="0"/>
              <w:rPr>
                <w:sz w:val="11"/>
                <w:szCs w:val="11"/>
                <w:color w:val="auto"/>
              </w:rPr>
            </w:pPr>
          </w:p>
        </w:tc>
        <w:tc>
          <w:tcPr>
            <w:tcW w:w="66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20" w:type="dxa"/>
            <w:vAlign w:val="bottom"/>
            <w:shd w:val="clear" w:color="auto" w:fill="F3F3F3"/>
          </w:tcPr>
          <w:p>
            <w:pPr>
              <w:spacing w:after="0"/>
              <w:rPr>
                <w:sz w:val="11"/>
                <w:szCs w:val="11"/>
                <w:color w:val="auto"/>
              </w:rPr>
            </w:pPr>
          </w:p>
        </w:tc>
        <w:tc>
          <w:tcPr>
            <w:tcW w:w="106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96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02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20" w:type="dxa"/>
            <w:vAlign w:val="bottom"/>
            <w:shd w:val="clear" w:color="auto" w:fill="F3F3F3"/>
          </w:tcPr>
          <w:p>
            <w:pPr>
              <w:spacing w:after="0"/>
              <w:rPr>
                <w:sz w:val="11"/>
                <w:szCs w:val="11"/>
                <w:color w:val="auto"/>
              </w:rPr>
            </w:pPr>
          </w:p>
        </w:tc>
        <w:tc>
          <w:tcPr>
            <w:tcW w:w="960" w:type="dxa"/>
            <w:vAlign w:val="bottom"/>
            <w:shd w:val="clear" w:color="auto" w:fill="F3F3F3"/>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1800" w:type="dxa"/>
            <w:vAlign w:val="bottom"/>
            <w:shd w:val="clear" w:color="auto" w:fill="F3F3F3"/>
          </w:tcPr>
          <w:p>
            <w:pPr>
              <w:ind w:left="100"/>
              <w:spacing w:after="0" w:line="116" w:lineRule="exact"/>
              <w:rPr>
                <w:sz w:val="20"/>
                <w:szCs w:val="20"/>
                <w:color w:val="auto"/>
              </w:rPr>
            </w:pPr>
            <w:r>
              <w:rPr>
                <w:rFonts w:ascii="Arial" w:cs="Arial" w:eastAsia="Arial" w:hAnsi="Arial"/>
                <w:sz w:val="12"/>
                <w:szCs w:val="12"/>
                <w:color w:val="auto"/>
              </w:rPr>
              <w:t>through share repurchase</w:t>
            </w:r>
          </w:p>
        </w:tc>
        <w:tc>
          <w:tcPr>
            <w:tcW w:w="1120" w:type="dxa"/>
            <w:vAlign w:val="bottom"/>
            <w:vMerge w:val="restart"/>
            <w:shd w:val="clear" w:color="auto" w:fill="F3F3F3"/>
          </w:tcPr>
          <w:p>
            <w:pPr>
              <w:jc w:val="right"/>
              <w:spacing w:after="0"/>
              <w:rPr>
                <w:sz w:val="20"/>
                <w:szCs w:val="20"/>
                <w:color w:val="auto"/>
              </w:rPr>
            </w:pPr>
            <w:r>
              <w:rPr>
                <w:rFonts w:ascii="Arial" w:cs="Arial" w:eastAsia="Arial" w:hAnsi="Arial"/>
                <w:sz w:val="12"/>
                <w:szCs w:val="12"/>
                <w:color w:val="auto"/>
              </w:rPr>
              <w:t>(425,148)</w:t>
            </w:r>
          </w:p>
        </w:tc>
        <w:tc>
          <w:tcPr>
            <w:tcW w:w="100" w:type="dxa"/>
            <w:vAlign w:val="bottom"/>
            <w:shd w:val="clear" w:color="auto" w:fill="F3F3F3"/>
          </w:tcPr>
          <w:p>
            <w:pPr>
              <w:spacing w:after="0"/>
              <w:rPr>
                <w:sz w:val="10"/>
                <w:szCs w:val="10"/>
                <w:color w:val="auto"/>
              </w:rPr>
            </w:pPr>
          </w:p>
        </w:tc>
        <w:tc>
          <w:tcPr>
            <w:tcW w:w="100" w:type="dxa"/>
            <w:vAlign w:val="bottom"/>
            <w:shd w:val="clear" w:color="auto" w:fill="F3F3F3"/>
          </w:tcPr>
          <w:p>
            <w:pPr>
              <w:spacing w:after="0"/>
              <w:rPr>
                <w:sz w:val="10"/>
                <w:szCs w:val="10"/>
                <w:color w:val="auto"/>
              </w:rPr>
            </w:pPr>
          </w:p>
        </w:tc>
        <w:tc>
          <w:tcPr>
            <w:tcW w:w="74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0"/>
                <w:szCs w:val="10"/>
                <w:color w:val="auto"/>
              </w:rPr>
            </w:pPr>
          </w:p>
        </w:tc>
        <w:tc>
          <w:tcPr>
            <w:tcW w:w="820" w:type="dxa"/>
            <w:vAlign w:val="bottom"/>
            <w:gridSpan w:val="2"/>
            <w:vMerge w:val="restart"/>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0"/>
                <w:szCs w:val="10"/>
                <w:color w:val="auto"/>
              </w:rPr>
            </w:pPr>
          </w:p>
        </w:tc>
        <w:tc>
          <w:tcPr>
            <w:tcW w:w="740" w:type="dxa"/>
            <w:vAlign w:val="bottom"/>
            <w:gridSpan w:val="2"/>
            <w:vMerge w:val="restart"/>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0"/>
                <w:szCs w:val="10"/>
                <w:color w:val="auto"/>
              </w:rPr>
            </w:pPr>
          </w:p>
        </w:tc>
        <w:tc>
          <w:tcPr>
            <w:tcW w:w="660" w:type="dxa"/>
            <w:vAlign w:val="bottom"/>
            <w:vMerge w:val="restart"/>
            <w:shd w:val="clear" w:color="auto" w:fill="F3F3F3"/>
          </w:tcPr>
          <w:p>
            <w:pPr>
              <w:jc w:val="right"/>
              <w:spacing w:after="0"/>
              <w:rPr>
                <w:sz w:val="20"/>
                <w:szCs w:val="20"/>
                <w:color w:val="auto"/>
              </w:rPr>
            </w:pPr>
            <w:r>
              <w:rPr>
                <w:rFonts w:ascii="Arial" w:cs="Arial" w:eastAsia="Arial" w:hAnsi="Arial"/>
                <w:sz w:val="12"/>
                <w:szCs w:val="12"/>
                <w:color w:val="auto"/>
              </w:rPr>
              <w:t>(33,046)</w:t>
            </w:r>
          </w:p>
        </w:tc>
        <w:tc>
          <w:tcPr>
            <w:tcW w:w="100" w:type="dxa"/>
            <w:vAlign w:val="bottom"/>
            <w:shd w:val="clear" w:color="auto" w:fill="F3F3F3"/>
          </w:tcPr>
          <w:p>
            <w:pPr>
              <w:spacing w:after="0"/>
              <w:rPr>
                <w:sz w:val="10"/>
                <w:szCs w:val="10"/>
                <w:color w:val="auto"/>
              </w:rPr>
            </w:pPr>
          </w:p>
        </w:tc>
        <w:tc>
          <w:tcPr>
            <w:tcW w:w="120" w:type="dxa"/>
            <w:vAlign w:val="bottom"/>
            <w:shd w:val="clear" w:color="auto" w:fill="F3F3F3"/>
          </w:tcPr>
          <w:p>
            <w:pPr>
              <w:spacing w:after="0"/>
              <w:rPr>
                <w:sz w:val="10"/>
                <w:szCs w:val="10"/>
                <w:color w:val="auto"/>
              </w:rPr>
            </w:pPr>
          </w:p>
        </w:tc>
        <w:tc>
          <w:tcPr>
            <w:tcW w:w="116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0"/>
                <w:szCs w:val="10"/>
                <w:color w:val="auto"/>
              </w:rPr>
            </w:pPr>
          </w:p>
        </w:tc>
        <w:tc>
          <w:tcPr>
            <w:tcW w:w="960" w:type="dxa"/>
            <w:vAlign w:val="bottom"/>
            <w:vMerge w:val="restart"/>
            <w:shd w:val="clear" w:color="auto" w:fill="F3F3F3"/>
          </w:tcPr>
          <w:p>
            <w:pPr>
              <w:jc w:val="right"/>
              <w:spacing w:after="0"/>
              <w:rPr>
                <w:sz w:val="20"/>
                <w:szCs w:val="20"/>
                <w:color w:val="auto"/>
              </w:rPr>
            </w:pPr>
            <w:r>
              <w:rPr>
                <w:rFonts w:ascii="Arial" w:cs="Arial" w:eastAsia="Arial" w:hAnsi="Arial"/>
                <w:sz w:val="12"/>
                <w:szCs w:val="12"/>
                <w:color w:val="auto"/>
              </w:rPr>
              <w:t>(33,046)</w:t>
            </w:r>
          </w:p>
        </w:tc>
        <w:tc>
          <w:tcPr>
            <w:tcW w:w="100" w:type="dxa"/>
            <w:vAlign w:val="bottom"/>
            <w:shd w:val="clear" w:color="auto" w:fill="F3F3F3"/>
          </w:tcPr>
          <w:p>
            <w:pPr>
              <w:spacing w:after="0"/>
              <w:rPr>
                <w:sz w:val="10"/>
                <w:szCs w:val="10"/>
                <w:color w:val="auto"/>
              </w:rPr>
            </w:pPr>
          </w:p>
        </w:tc>
        <w:tc>
          <w:tcPr>
            <w:tcW w:w="100" w:type="dxa"/>
            <w:vAlign w:val="bottom"/>
            <w:shd w:val="clear" w:color="auto" w:fill="F3F3F3"/>
          </w:tcPr>
          <w:p>
            <w:pPr>
              <w:spacing w:after="0"/>
              <w:rPr>
                <w:sz w:val="10"/>
                <w:szCs w:val="10"/>
                <w:color w:val="auto"/>
              </w:rPr>
            </w:pPr>
          </w:p>
        </w:tc>
        <w:tc>
          <w:tcPr>
            <w:tcW w:w="112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0"/>
                <w:szCs w:val="10"/>
                <w:color w:val="auto"/>
              </w:rPr>
            </w:pPr>
          </w:p>
        </w:tc>
        <w:tc>
          <w:tcPr>
            <w:tcW w:w="960" w:type="dxa"/>
            <w:vAlign w:val="bottom"/>
            <w:vMerge w:val="restart"/>
            <w:shd w:val="clear" w:color="auto" w:fill="F3F3F3"/>
          </w:tcPr>
          <w:p>
            <w:pPr>
              <w:jc w:val="right"/>
              <w:spacing w:after="0"/>
              <w:rPr>
                <w:sz w:val="20"/>
                <w:szCs w:val="20"/>
                <w:color w:val="auto"/>
              </w:rPr>
            </w:pPr>
            <w:r>
              <w:rPr>
                <w:rFonts w:ascii="Arial" w:cs="Arial" w:eastAsia="Arial" w:hAnsi="Arial"/>
                <w:sz w:val="12"/>
                <w:szCs w:val="12"/>
                <w:color w:val="auto"/>
              </w:rPr>
              <w:t>(33,046)</w:t>
            </w:r>
          </w:p>
        </w:tc>
        <w:tc>
          <w:tcPr>
            <w:tcW w:w="0" w:type="dxa"/>
            <w:vAlign w:val="bottom"/>
          </w:tcPr>
          <w:p>
            <w:pPr>
              <w:spacing w:after="0"/>
              <w:rPr>
                <w:sz w:val="1"/>
                <w:szCs w:val="1"/>
                <w:color w:val="auto"/>
              </w:rPr>
            </w:pPr>
          </w:p>
        </w:tc>
      </w:tr>
      <w:tr>
        <w:trPr>
          <w:trHeight w:val="162"/>
        </w:trPr>
        <w:tc>
          <w:tcPr>
            <w:tcW w:w="1800" w:type="dxa"/>
            <w:vAlign w:val="bottom"/>
            <w:shd w:val="clear" w:color="auto" w:fill="F3F3F3"/>
          </w:tcPr>
          <w:p>
            <w:pPr>
              <w:ind w:left="100"/>
              <w:spacing w:after="0"/>
              <w:rPr>
                <w:sz w:val="20"/>
                <w:szCs w:val="20"/>
                <w:color w:val="auto"/>
              </w:rPr>
            </w:pPr>
            <w:r>
              <w:rPr>
                <w:rFonts w:ascii="Arial" w:cs="Arial" w:eastAsia="Arial" w:hAnsi="Arial"/>
                <w:sz w:val="12"/>
                <w:szCs w:val="12"/>
                <w:color w:val="auto"/>
              </w:rPr>
              <w:t>program</w:t>
            </w:r>
          </w:p>
        </w:tc>
        <w:tc>
          <w:tcPr>
            <w:tcW w:w="1120" w:type="dxa"/>
            <w:vAlign w:val="bottom"/>
            <w:vMerge w:val="continue"/>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740" w:type="dxa"/>
            <w:vAlign w:val="bottom"/>
            <w:gridSpan w:val="2"/>
            <w:vMerge w:val="continue"/>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820" w:type="dxa"/>
            <w:vAlign w:val="bottom"/>
            <w:gridSpan w:val="2"/>
            <w:vMerge w:val="continue"/>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740" w:type="dxa"/>
            <w:vAlign w:val="bottom"/>
            <w:gridSpan w:val="2"/>
            <w:vMerge w:val="continue"/>
            <w:shd w:val="clear" w:color="auto" w:fill="F3F3F3"/>
          </w:tcPr>
          <w:p>
            <w:pPr>
              <w:spacing w:after="0"/>
              <w:rPr>
                <w:sz w:val="14"/>
                <w:szCs w:val="14"/>
                <w:color w:val="auto"/>
              </w:rPr>
            </w:pPr>
          </w:p>
        </w:tc>
        <w:tc>
          <w:tcPr>
            <w:tcW w:w="120" w:type="dxa"/>
            <w:vAlign w:val="bottom"/>
            <w:shd w:val="clear" w:color="auto" w:fill="F3F3F3"/>
          </w:tcPr>
          <w:p>
            <w:pPr>
              <w:spacing w:after="0"/>
              <w:rPr>
                <w:sz w:val="14"/>
                <w:szCs w:val="14"/>
                <w:color w:val="auto"/>
              </w:rPr>
            </w:pPr>
          </w:p>
        </w:tc>
        <w:tc>
          <w:tcPr>
            <w:tcW w:w="660" w:type="dxa"/>
            <w:vAlign w:val="bottom"/>
            <w:vMerge w:val="continue"/>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120" w:type="dxa"/>
            <w:vAlign w:val="bottom"/>
            <w:shd w:val="clear" w:color="auto" w:fill="F3F3F3"/>
          </w:tcPr>
          <w:p>
            <w:pPr>
              <w:spacing w:after="0"/>
              <w:rPr>
                <w:sz w:val="14"/>
                <w:szCs w:val="14"/>
                <w:color w:val="auto"/>
              </w:rPr>
            </w:pPr>
          </w:p>
        </w:tc>
        <w:tc>
          <w:tcPr>
            <w:tcW w:w="1160" w:type="dxa"/>
            <w:vAlign w:val="bottom"/>
            <w:gridSpan w:val="2"/>
            <w:vMerge w:val="continue"/>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960" w:type="dxa"/>
            <w:vAlign w:val="bottom"/>
            <w:vMerge w:val="continue"/>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1120" w:type="dxa"/>
            <w:vAlign w:val="bottom"/>
            <w:gridSpan w:val="2"/>
            <w:vMerge w:val="continue"/>
            <w:shd w:val="clear" w:color="auto" w:fill="F3F3F3"/>
          </w:tcPr>
          <w:p>
            <w:pPr>
              <w:spacing w:after="0"/>
              <w:rPr>
                <w:sz w:val="14"/>
                <w:szCs w:val="14"/>
                <w:color w:val="auto"/>
              </w:rPr>
            </w:pPr>
          </w:p>
        </w:tc>
        <w:tc>
          <w:tcPr>
            <w:tcW w:w="120" w:type="dxa"/>
            <w:vAlign w:val="bottom"/>
            <w:shd w:val="clear" w:color="auto" w:fill="F3F3F3"/>
          </w:tcPr>
          <w:p>
            <w:pPr>
              <w:spacing w:after="0"/>
              <w:rPr>
                <w:sz w:val="14"/>
                <w:szCs w:val="14"/>
                <w:color w:val="auto"/>
              </w:rPr>
            </w:pPr>
          </w:p>
        </w:tc>
        <w:tc>
          <w:tcPr>
            <w:tcW w:w="960" w:type="dxa"/>
            <w:vAlign w:val="bottom"/>
            <w:vMerge w:val="continue"/>
            <w:shd w:val="clear" w:color="auto" w:fill="F3F3F3"/>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1800" w:type="dxa"/>
            <w:vAlign w:val="bottom"/>
          </w:tcPr>
          <w:p>
            <w:pPr>
              <w:ind w:left="100"/>
              <w:spacing w:after="0" w:line="128" w:lineRule="exact"/>
              <w:rPr>
                <w:sz w:val="20"/>
                <w:szCs w:val="20"/>
                <w:color w:val="auto"/>
              </w:rPr>
            </w:pPr>
            <w:r>
              <w:rPr>
                <w:rFonts w:ascii="Arial" w:cs="Arial" w:eastAsia="Arial" w:hAnsi="Arial"/>
                <w:sz w:val="12"/>
                <w:szCs w:val="12"/>
                <w:color w:val="auto"/>
              </w:rPr>
              <w:t>Issuance of treasury shares</w:t>
            </w:r>
          </w:p>
        </w:tc>
        <w:tc>
          <w:tcPr>
            <w:tcW w:w="1120" w:type="dxa"/>
            <w:vAlign w:val="bottom"/>
            <w:vMerge w:val="restart"/>
          </w:tcPr>
          <w:p>
            <w:pPr>
              <w:jc w:val="right"/>
              <w:ind w:right="2"/>
              <w:spacing w:after="0"/>
              <w:rPr>
                <w:sz w:val="20"/>
                <w:szCs w:val="20"/>
                <w:color w:val="auto"/>
              </w:rPr>
            </w:pPr>
            <w:r>
              <w:rPr>
                <w:rFonts w:ascii="Arial" w:cs="Arial" w:eastAsia="Arial" w:hAnsi="Arial"/>
                <w:sz w:val="12"/>
                <w:szCs w:val="12"/>
                <w:color w:val="auto"/>
              </w:rPr>
              <w:t>20,960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(113)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632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color w:val="auto"/>
              </w:rPr>
              <w:t>519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color w:val="auto"/>
              </w:rPr>
              <w:t>519</w:t>
            </w:r>
          </w:p>
        </w:tc>
        <w:tc>
          <w:tcPr>
            <w:tcW w:w="0" w:type="dxa"/>
            <w:vAlign w:val="bottom"/>
          </w:tcPr>
          <w:p>
            <w:pPr>
              <w:spacing w:after="0"/>
              <w:rPr>
                <w:sz w:val="1"/>
                <w:szCs w:val="1"/>
                <w:color w:val="auto"/>
              </w:rPr>
            </w:pPr>
          </w:p>
        </w:tc>
      </w:tr>
      <w:tr>
        <w:trPr>
          <w:trHeight w:val="154"/>
        </w:trPr>
        <w:tc>
          <w:tcPr>
            <w:tcW w:w="1800" w:type="dxa"/>
            <w:vAlign w:val="bottom"/>
          </w:tcPr>
          <w:p>
            <w:pPr>
              <w:ind w:left="180"/>
              <w:spacing w:after="0"/>
              <w:rPr>
                <w:sz w:val="20"/>
                <w:szCs w:val="20"/>
                <w:color w:val="auto"/>
              </w:rPr>
            </w:pPr>
            <w:r>
              <w:rPr>
                <w:rFonts w:ascii="Arial" w:cs="Arial" w:eastAsia="Arial" w:hAnsi="Arial"/>
                <w:sz w:val="12"/>
                <w:szCs w:val="12"/>
                <w:color w:val="auto"/>
              </w:rPr>
              <w:t>for options exercised</w:t>
            </w: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00" w:type="dxa"/>
            <w:vAlign w:val="bottom"/>
            <w:shd w:val="clear" w:color="auto" w:fill="F3F3F3"/>
          </w:tcPr>
          <w:p>
            <w:pPr>
              <w:ind w:left="100"/>
              <w:spacing w:after="0" w:line="130" w:lineRule="exact"/>
              <w:rPr>
                <w:sz w:val="20"/>
                <w:szCs w:val="20"/>
                <w:color w:val="auto"/>
              </w:rPr>
            </w:pPr>
            <w:r>
              <w:rPr>
                <w:rFonts w:ascii="Arial" w:cs="Arial" w:eastAsia="Arial" w:hAnsi="Arial"/>
                <w:sz w:val="12"/>
                <w:szCs w:val="12"/>
                <w:color w:val="auto"/>
              </w:rPr>
              <w:t>Issuance of treasury shares</w:t>
            </w:r>
          </w:p>
        </w:tc>
        <w:tc>
          <w:tcPr>
            <w:tcW w:w="112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1,232,616</w:t>
            </w: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74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1"/>
                <w:szCs w:val="11"/>
                <w:color w:val="auto"/>
              </w:rPr>
            </w:pPr>
          </w:p>
        </w:tc>
        <w:tc>
          <w:tcPr>
            <w:tcW w:w="740" w:type="dxa"/>
            <w:vAlign w:val="bottom"/>
            <w:vMerge w:val="restart"/>
            <w:shd w:val="clear" w:color="auto" w:fill="F3F3F3"/>
          </w:tcPr>
          <w:p>
            <w:pPr>
              <w:jc w:val="right"/>
              <w:spacing w:after="0"/>
              <w:rPr>
                <w:sz w:val="20"/>
                <w:szCs w:val="20"/>
                <w:color w:val="auto"/>
              </w:rPr>
            </w:pPr>
            <w:r>
              <w:rPr>
                <w:rFonts w:ascii="Arial" w:cs="Arial" w:eastAsia="Arial" w:hAnsi="Arial"/>
                <w:sz w:val="12"/>
                <w:szCs w:val="12"/>
                <w:color w:val="auto"/>
              </w:rPr>
              <w:t>(41,719)</w:t>
            </w:r>
          </w:p>
        </w:tc>
        <w:tc>
          <w:tcPr>
            <w:tcW w:w="8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740" w:type="dxa"/>
            <w:vAlign w:val="bottom"/>
            <w:gridSpan w:val="2"/>
            <w:vMerge w:val="restart"/>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1"/>
                <w:szCs w:val="11"/>
                <w:color w:val="auto"/>
              </w:rPr>
            </w:pPr>
          </w:p>
        </w:tc>
        <w:tc>
          <w:tcPr>
            <w:tcW w:w="66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41,719</w:t>
            </w:r>
          </w:p>
        </w:tc>
        <w:tc>
          <w:tcPr>
            <w:tcW w:w="100" w:type="dxa"/>
            <w:vAlign w:val="bottom"/>
            <w:shd w:val="clear" w:color="auto" w:fill="F3F3F3"/>
          </w:tcPr>
          <w:p>
            <w:pPr>
              <w:spacing w:after="0"/>
              <w:rPr>
                <w:sz w:val="11"/>
                <w:szCs w:val="11"/>
                <w:color w:val="auto"/>
              </w:rPr>
            </w:pPr>
          </w:p>
        </w:tc>
        <w:tc>
          <w:tcPr>
            <w:tcW w:w="120" w:type="dxa"/>
            <w:vAlign w:val="bottom"/>
            <w:shd w:val="clear" w:color="auto" w:fill="F3F3F3"/>
          </w:tcPr>
          <w:p>
            <w:pPr>
              <w:spacing w:after="0"/>
              <w:rPr>
                <w:sz w:val="11"/>
                <w:szCs w:val="11"/>
                <w:color w:val="auto"/>
              </w:rPr>
            </w:pPr>
          </w:p>
        </w:tc>
        <w:tc>
          <w:tcPr>
            <w:tcW w:w="116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1"/>
                <w:szCs w:val="11"/>
                <w:color w:val="auto"/>
              </w:rPr>
            </w:pPr>
          </w:p>
        </w:tc>
        <w:tc>
          <w:tcPr>
            <w:tcW w:w="106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1"/>
                <w:szCs w:val="11"/>
                <w:color w:val="auto"/>
              </w:rPr>
            </w:pPr>
          </w:p>
        </w:tc>
        <w:tc>
          <w:tcPr>
            <w:tcW w:w="112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1"/>
                <w:szCs w:val="11"/>
                <w:color w:val="auto"/>
              </w:rPr>
            </w:pPr>
          </w:p>
        </w:tc>
        <w:tc>
          <w:tcPr>
            <w:tcW w:w="96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6"/>
        </w:trPr>
        <w:tc>
          <w:tcPr>
            <w:tcW w:w="1800" w:type="dxa"/>
            <w:vAlign w:val="bottom"/>
            <w:shd w:val="clear" w:color="auto" w:fill="F3F3F3"/>
          </w:tcPr>
          <w:p>
            <w:pPr>
              <w:ind w:left="180"/>
              <w:spacing w:after="0"/>
              <w:rPr>
                <w:sz w:val="20"/>
                <w:szCs w:val="20"/>
                <w:color w:val="auto"/>
              </w:rPr>
            </w:pPr>
            <w:r>
              <w:rPr>
                <w:rFonts w:ascii="Arial" w:cs="Arial" w:eastAsia="Arial" w:hAnsi="Arial"/>
                <w:sz w:val="12"/>
                <w:szCs w:val="12"/>
                <w:color w:val="auto"/>
              </w:rPr>
              <w:t>for restricted stock vestings</w:t>
            </w:r>
          </w:p>
        </w:tc>
        <w:tc>
          <w:tcPr>
            <w:tcW w:w="112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gridSpan w:val="2"/>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vMerge w:val="continue"/>
            <w:shd w:val="clear" w:color="auto" w:fill="F3F3F3"/>
          </w:tcPr>
          <w:p>
            <w:pPr>
              <w:spacing w:after="0"/>
              <w:rPr>
                <w:sz w:val="13"/>
                <w:szCs w:val="13"/>
                <w:color w:val="auto"/>
              </w:rPr>
            </w:pPr>
          </w:p>
        </w:tc>
        <w:tc>
          <w:tcPr>
            <w:tcW w:w="80" w:type="dxa"/>
            <w:vAlign w:val="bottom"/>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gridSpan w:val="2"/>
            <w:vMerge w:val="continue"/>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6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1160" w:type="dxa"/>
            <w:vAlign w:val="bottom"/>
            <w:gridSpan w:val="2"/>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60" w:type="dxa"/>
            <w:vAlign w:val="bottom"/>
            <w:gridSpan w:val="2"/>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120" w:type="dxa"/>
            <w:vAlign w:val="bottom"/>
            <w:gridSpan w:val="2"/>
            <w:vMerge w:val="continue"/>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800" w:type="dxa"/>
            <w:vAlign w:val="bottom"/>
          </w:tcPr>
          <w:p>
            <w:pPr>
              <w:ind w:left="100"/>
              <w:spacing w:after="0" w:line="128" w:lineRule="exact"/>
              <w:rPr>
                <w:sz w:val="20"/>
                <w:szCs w:val="20"/>
                <w:color w:val="auto"/>
              </w:rPr>
            </w:pPr>
            <w:r>
              <w:rPr>
                <w:rFonts w:ascii="Arial" w:cs="Arial" w:eastAsia="Arial" w:hAnsi="Arial"/>
                <w:sz w:val="12"/>
                <w:szCs w:val="12"/>
                <w:color w:val="auto"/>
              </w:rPr>
              <w:t>Repurchase of common stock</w:t>
            </w:r>
          </w:p>
        </w:tc>
        <w:tc>
          <w:tcPr>
            <w:tcW w:w="1120" w:type="dxa"/>
            <w:vAlign w:val="bottom"/>
            <w:vMerge w:val="restart"/>
          </w:tcPr>
          <w:p>
            <w:pPr>
              <w:jc w:val="right"/>
              <w:spacing w:after="0"/>
              <w:rPr>
                <w:sz w:val="20"/>
                <w:szCs w:val="20"/>
                <w:color w:val="auto"/>
              </w:rPr>
            </w:pPr>
            <w:r>
              <w:rPr>
                <w:rFonts w:ascii="Arial" w:cs="Arial" w:eastAsia="Arial" w:hAnsi="Arial"/>
                <w:sz w:val="12"/>
                <w:szCs w:val="12"/>
                <w:color w:val="auto"/>
              </w:rPr>
              <w:t>(458,656)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(36,843)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(36,843)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color w:val="auto"/>
              </w:rPr>
              <w:t>(36,843)</w:t>
            </w:r>
          </w:p>
        </w:tc>
        <w:tc>
          <w:tcPr>
            <w:tcW w:w="0" w:type="dxa"/>
            <w:vAlign w:val="bottom"/>
          </w:tcPr>
          <w:p>
            <w:pPr>
              <w:spacing w:after="0"/>
              <w:rPr>
                <w:sz w:val="1"/>
                <w:szCs w:val="1"/>
                <w:color w:val="auto"/>
              </w:rPr>
            </w:pPr>
          </w:p>
        </w:tc>
      </w:tr>
      <w:tr>
        <w:trPr>
          <w:trHeight w:val="154"/>
        </w:trPr>
        <w:tc>
          <w:tcPr>
            <w:tcW w:w="1800" w:type="dxa"/>
            <w:vAlign w:val="bottom"/>
          </w:tcPr>
          <w:p>
            <w:pPr>
              <w:ind w:left="180"/>
              <w:spacing w:after="0"/>
              <w:rPr>
                <w:sz w:val="20"/>
                <w:szCs w:val="20"/>
                <w:color w:val="auto"/>
              </w:rPr>
            </w:pPr>
            <w:r>
              <w:rPr>
                <w:rFonts w:ascii="Arial" w:cs="Arial" w:eastAsia="Arial" w:hAnsi="Arial"/>
                <w:sz w:val="12"/>
                <w:szCs w:val="12"/>
                <w:color w:val="auto"/>
              </w:rPr>
              <w:t>from employees</w:t>
            </w: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00" w:type="dxa"/>
            <w:vAlign w:val="bottom"/>
            <w:shd w:val="clear" w:color="auto" w:fill="F3F3F3"/>
          </w:tcPr>
          <w:p>
            <w:pPr>
              <w:ind w:left="100"/>
              <w:spacing w:after="0" w:line="130" w:lineRule="exact"/>
              <w:rPr>
                <w:sz w:val="20"/>
                <w:szCs w:val="20"/>
                <w:color w:val="auto"/>
              </w:rPr>
            </w:pPr>
            <w:r>
              <w:rPr>
                <w:rFonts w:ascii="Arial" w:cs="Arial" w:eastAsia="Arial" w:hAnsi="Arial"/>
                <w:sz w:val="12"/>
                <w:szCs w:val="12"/>
                <w:color w:val="auto"/>
              </w:rPr>
              <w:t>Shares reserved/issued for</w:t>
            </w:r>
          </w:p>
        </w:tc>
        <w:tc>
          <w:tcPr>
            <w:tcW w:w="112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4,357</w:t>
            </w: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74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1"/>
                <w:szCs w:val="11"/>
                <w:color w:val="auto"/>
              </w:rPr>
            </w:pPr>
          </w:p>
        </w:tc>
        <w:tc>
          <w:tcPr>
            <w:tcW w:w="74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313</w:t>
            </w:r>
          </w:p>
        </w:tc>
        <w:tc>
          <w:tcPr>
            <w:tcW w:w="8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740" w:type="dxa"/>
            <w:vAlign w:val="bottom"/>
            <w:gridSpan w:val="2"/>
            <w:vMerge w:val="restart"/>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1"/>
                <w:szCs w:val="11"/>
                <w:color w:val="auto"/>
              </w:rPr>
            </w:pPr>
          </w:p>
        </w:tc>
        <w:tc>
          <w:tcPr>
            <w:tcW w:w="76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1"/>
                <w:szCs w:val="11"/>
                <w:color w:val="auto"/>
              </w:rPr>
            </w:pPr>
          </w:p>
        </w:tc>
        <w:tc>
          <w:tcPr>
            <w:tcW w:w="116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1"/>
                <w:szCs w:val="11"/>
                <w:color w:val="auto"/>
              </w:rPr>
            </w:pPr>
          </w:p>
        </w:tc>
        <w:tc>
          <w:tcPr>
            <w:tcW w:w="96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313</w:t>
            </w: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12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1"/>
                <w:szCs w:val="11"/>
                <w:color w:val="auto"/>
              </w:rPr>
            </w:pPr>
          </w:p>
        </w:tc>
        <w:tc>
          <w:tcPr>
            <w:tcW w:w="96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313</w:t>
            </w:r>
          </w:p>
        </w:tc>
        <w:tc>
          <w:tcPr>
            <w:tcW w:w="0" w:type="dxa"/>
            <w:vAlign w:val="bottom"/>
          </w:tcPr>
          <w:p>
            <w:pPr>
              <w:spacing w:after="0"/>
              <w:rPr>
                <w:sz w:val="1"/>
                <w:szCs w:val="1"/>
                <w:color w:val="auto"/>
              </w:rPr>
            </w:pPr>
          </w:p>
        </w:tc>
      </w:tr>
      <w:tr>
        <w:trPr>
          <w:trHeight w:val="156"/>
        </w:trPr>
        <w:tc>
          <w:tcPr>
            <w:tcW w:w="1800" w:type="dxa"/>
            <w:vAlign w:val="bottom"/>
            <w:shd w:val="clear" w:color="auto" w:fill="F3F3F3"/>
          </w:tcPr>
          <w:p>
            <w:pPr>
              <w:ind w:left="180"/>
              <w:spacing w:after="0"/>
              <w:rPr>
                <w:sz w:val="20"/>
                <w:szCs w:val="20"/>
                <w:color w:val="auto"/>
              </w:rPr>
            </w:pPr>
            <w:r>
              <w:rPr>
                <w:rFonts w:ascii="Arial" w:cs="Arial" w:eastAsia="Arial" w:hAnsi="Arial"/>
                <w:sz w:val="12"/>
                <w:szCs w:val="12"/>
                <w:color w:val="auto"/>
              </w:rPr>
              <w:t>director compensation</w:t>
            </w:r>
          </w:p>
        </w:tc>
        <w:tc>
          <w:tcPr>
            <w:tcW w:w="112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gridSpan w:val="2"/>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vMerge w:val="continue"/>
            <w:shd w:val="clear" w:color="auto" w:fill="F3F3F3"/>
          </w:tcPr>
          <w:p>
            <w:pPr>
              <w:spacing w:after="0"/>
              <w:rPr>
                <w:sz w:val="13"/>
                <w:szCs w:val="13"/>
                <w:color w:val="auto"/>
              </w:rPr>
            </w:pPr>
          </w:p>
        </w:tc>
        <w:tc>
          <w:tcPr>
            <w:tcW w:w="80" w:type="dxa"/>
            <w:vAlign w:val="bottom"/>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gridSpan w:val="2"/>
            <w:vMerge w:val="continue"/>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760" w:type="dxa"/>
            <w:vAlign w:val="bottom"/>
            <w:gridSpan w:val="2"/>
            <w:vMerge w:val="continue"/>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1160" w:type="dxa"/>
            <w:vAlign w:val="bottom"/>
            <w:gridSpan w:val="2"/>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120" w:type="dxa"/>
            <w:vAlign w:val="bottom"/>
            <w:gridSpan w:val="2"/>
            <w:vMerge w:val="continue"/>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00" w:type="dxa"/>
            <w:vAlign w:val="bottom"/>
          </w:tcPr>
          <w:p>
            <w:pPr>
              <w:ind w:left="100"/>
              <w:spacing w:after="0"/>
              <w:rPr>
                <w:sz w:val="20"/>
                <w:szCs w:val="20"/>
                <w:color w:val="auto"/>
              </w:rPr>
            </w:pPr>
            <w:r>
              <w:rPr>
                <w:rFonts w:ascii="Arial" w:cs="Arial" w:eastAsia="Arial" w:hAnsi="Arial"/>
                <w:sz w:val="12"/>
                <w:szCs w:val="12"/>
                <w:color w:val="auto"/>
              </w:rPr>
              <w:t>Other comprehensive loss</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(975)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(975)</w:t>
            </w:r>
          </w:p>
        </w:tc>
        <w:tc>
          <w:tcPr>
            <w:tcW w:w="0" w:type="dxa"/>
            <w:vAlign w:val="bottom"/>
          </w:tcPr>
          <w:p>
            <w:pPr>
              <w:spacing w:after="0"/>
              <w:rPr>
                <w:sz w:val="1"/>
                <w:szCs w:val="1"/>
                <w:color w:val="auto"/>
              </w:rPr>
            </w:pPr>
          </w:p>
        </w:tc>
      </w:tr>
      <w:tr>
        <w:trPr>
          <w:trHeight w:val="185"/>
        </w:trPr>
        <w:tc>
          <w:tcPr>
            <w:tcW w:w="1800" w:type="dxa"/>
            <w:vAlign w:val="bottom"/>
            <w:shd w:val="clear" w:color="auto" w:fill="F3F3F3"/>
          </w:tcPr>
          <w:p>
            <w:pPr>
              <w:ind w:left="100"/>
              <w:spacing w:after="0"/>
              <w:rPr>
                <w:sz w:val="20"/>
                <w:szCs w:val="20"/>
                <w:color w:val="auto"/>
              </w:rPr>
            </w:pPr>
            <w:r>
              <w:rPr>
                <w:rFonts w:ascii="Arial" w:cs="Arial" w:eastAsia="Arial" w:hAnsi="Arial"/>
                <w:sz w:val="12"/>
                <w:szCs w:val="12"/>
                <w:color w:val="auto"/>
              </w:rPr>
              <w:t>Fund capital contributions, net</w:t>
            </w:r>
          </w:p>
        </w:tc>
        <w:tc>
          <w:tcPr>
            <w:tcW w:w="122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74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820" w:type="dxa"/>
            <w:vAlign w:val="bottom"/>
            <w:gridSpan w:val="2"/>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740" w:type="dxa"/>
            <w:vAlign w:val="bottom"/>
            <w:gridSpan w:val="2"/>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6"/>
                <w:szCs w:val="16"/>
                <w:color w:val="auto"/>
              </w:rPr>
            </w:pPr>
          </w:p>
        </w:tc>
        <w:tc>
          <w:tcPr>
            <w:tcW w:w="76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6"/>
                <w:szCs w:val="16"/>
                <w:color w:val="auto"/>
              </w:rPr>
            </w:pPr>
          </w:p>
        </w:tc>
        <w:tc>
          <w:tcPr>
            <w:tcW w:w="116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106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1020" w:type="dxa"/>
            <w:vAlign w:val="bottom"/>
            <w:shd w:val="clear" w:color="auto" w:fill="F3F3F3"/>
          </w:tcPr>
          <w:p>
            <w:pPr>
              <w:jc w:val="right"/>
              <w:ind w:right="2"/>
              <w:spacing w:after="0"/>
              <w:rPr>
                <w:sz w:val="20"/>
                <w:szCs w:val="20"/>
                <w:color w:val="auto"/>
              </w:rPr>
            </w:pPr>
            <w:r>
              <w:rPr>
                <w:rFonts w:ascii="Arial" w:cs="Arial" w:eastAsia="Arial" w:hAnsi="Arial"/>
                <w:sz w:val="12"/>
                <w:szCs w:val="12"/>
                <w:color w:val="auto"/>
              </w:rPr>
              <w:t>1,167</w:t>
            </w:r>
          </w:p>
        </w:tc>
        <w:tc>
          <w:tcPr>
            <w:tcW w:w="100" w:type="dxa"/>
            <w:vAlign w:val="bottom"/>
            <w:shd w:val="clear" w:color="auto" w:fill="F3F3F3"/>
          </w:tcPr>
          <w:p>
            <w:pPr>
              <w:spacing w:after="0"/>
              <w:rPr>
                <w:sz w:val="16"/>
                <w:szCs w:val="16"/>
                <w:color w:val="auto"/>
              </w:rPr>
            </w:pPr>
          </w:p>
        </w:tc>
        <w:tc>
          <w:tcPr>
            <w:tcW w:w="120" w:type="dxa"/>
            <w:vAlign w:val="bottom"/>
            <w:shd w:val="clear" w:color="auto" w:fill="F3F3F3"/>
          </w:tcPr>
          <w:p>
            <w:pPr>
              <w:spacing w:after="0"/>
              <w:rPr>
                <w:sz w:val="16"/>
                <w:szCs w:val="16"/>
                <w:color w:val="auto"/>
              </w:rPr>
            </w:pPr>
          </w:p>
        </w:tc>
        <w:tc>
          <w:tcPr>
            <w:tcW w:w="960" w:type="dxa"/>
            <w:vAlign w:val="bottom"/>
            <w:shd w:val="clear" w:color="auto" w:fill="F3F3F3"/>
          </w:tcPr>
          <w:p>
            <w:pPr>
              <w:jc w:val="right"/>
              <w:ind w:right="2"/>
              <w:spacing w:after="0"/>
              <w:rPr>
                <w:sz w:val="20"/>
                <w:szCs w:val="20"/>
                <w:color w:val="auto"/>
              </w:rPr>
            </w:pPr>
            <w:r>
              <w:rPr>
                <w:rFonts w:ascii="Arial" w:cs="Arial" w:eastAsia="Arial" w:hAnsi="Arial"/>
                <w:sz w:val="12"/>
                <w:szCs w:val="12"/>
                <w:color w:val="auto"/>
              </w:rPr>
              <w:t>1,167</w:t>
            </w:r>
          </w:p>
        </w:tc>
        <w:tc>
          <w:tcPr>
            <w:tcW w:w="0" w:type="dxa"/>
            <w:vAlign w:val="bottom"/>
          </w:tcPr>
          <w:p>
            <w:pPr>
              <w:spacing w:after="0"/>
              <w:rPr>
                <w:sz w:val="1"/>
                <w:szCs w:val="1"/>
                <w:color w:val="auto"/>
              </w:rPr>
            </w:pPr>
          </w:p>
        </w:tc>
      </w:tr>
      <w:tr>
        <w:trPr>
          <w:trHeight w:val="142"/>
        </w:trPr>
        <w:tc>
          <w:tcPr>
            <w:tcW w:w="1800" w:type="dxa"/>
            <w:vAlign w:val="bottom"/>
          </w:tcPr>
          <w:p>
            <w:pPr>
              <w:ind w:left="20"/>
              <w:spacing w:after="0"/>
              <w:rPr>
                <w:sz w:val="20"/>
                <w:szCs w:val="20"/>
                <w:color w:val="auto"/>
              </w:rPr>
            </w:pPr>
            <w:r>
              <w:rPr>
                <w:rFonts w:ascii="Arial" w:cs="Arial" w:eastAsia="Arial" w:hAnsi="Arial"/>
                <w:sz w:val="12"/>
                <w:szCs w:val="12"/>
                <w:b w:val="1"/>
                <w:bCs w:val="1"/>
                <w:color w:val="auto"/>
              </w:rPr>
              <w:t>Balance at March 31, 2026</w:t>
            </w:r>
          </w:p>
        </w:tc>
        <w:tc>
          <w:tcPr>
            <w:tcW w:w="11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67,857,561</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779</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1,004,878</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680,540</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(346,119)</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1,758</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1,341,836</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216,023</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1,557,859</w:t>
            </w: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1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800" w:type="dxa"/>
            <w:vAlign w:val="bottom"/>
            <w:shd w:val="clear" w:color="auto" w:fill="F3F3F3"/>
          </w:tcPr>
          <w:p>
            <w:pPr>
              <w:ind w:left="20"/>
              <w:spacing w:after="0" w:line="125" w:lineRule="exact"/>
              <w:rPr>
                <w:sz w:val="20"/>
                <w:szCs w:val="20"/>
                <w:color w:val="auto"/>
              </w:rPr>
            </w:pPr>
            <w:r>
              <w:rPr>
                <w:rFonts w:ascii="Arial" w:cs="Arial" w:eastAsia="Arial" w:hAnsi="Arial"/>
                <w:sz w:val="12"/>
                <w:szCs w:val="12"/>
                <w:b w:val="1"/>
                <w:bCs w:val="1"/>
                <w:color w:val="auto"/>
              </w:rPr>
              <w:t>Balance at December 31,</w:t>
            </w:r>
          </w:p>
        </w:tc>
        <w:tc>
          <w:tcPr>
            <w:tcW w:w="112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64,446,892</w:t>
            </w:r>
          </w:p>
        </w:tc>
        <w:tc>
          <w:tcPr>
            <w:tcW w:w="100" w:type="dxa"/>
            <w:vAlign w:val="bottom"/>
            <w:shd w:val="clear" w:color="auto" w:fill="F3F3F3"/>
          </w:tcPr>
          <w:p>
            <w:pPr>
              <w:spacing w:after="0"/>
              <w:rPr>
                <w:sz w:val="10"/>
                <w:szCs w:val="10"/>
                <w:color w:val="auto"/>
              </w:rPr>
            </w:pPr>
          </w:p>
        </w:tc>
        <w:tc>
          <w:tcPr>
            <w:tcW w:w="10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779</w:t>
            </w:r>
          </w:p>
        </w:tc>
        <w:tc>
          <w:tcPr>
            <w:tcW w:w="100" w:type="dxa"/>
            <w:vAlign w:val="bottom"/>
            <w:shd w:val="clear" w:color="auto" w:fill="F3F3F3"/>
          </w:tcPr>
          <w:p>
            <w:pPr>
              <w:spacing w:after="0"/>
              <w:rPr>
                <w:sz w:val="10"/>
                <w:szCs w:val="10"/>
                <w:color w:val="auto"/>
              </w:rPr>
            </w:pPr>
          </w:p>
        </w:tc>
        <w:tc>
          <w:tcPr>
            <w:tcW w:w="10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74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981,140</w:t>
            </w:r>
          </w:p>
        </w:tc>
        <w:tc>
          <w:tcPr>
            <w:tcW w:w="80" w:type="dxa"/>
            <w:vAlign w:val="bottom"/>
            <w:shd w:val="clear" w:color="auto" w:fill="F3F3F3"/>
          </w:tcPr>
          <w:p>
            <w:pPr>
              <w:spacing w:after="0"/>
              <w:rPr>
                <w:sz w:val="10"/>
                <w:szCs w:val="10"/>
                <w:color w:val="auto"/>
              </w:rPr>
            </w:pPr>
          </w:p>
        </w:tc>
        <w:tc>
          <w:tcPr>
            <w:tcW w:w="10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rPr>
              <w:t>561,746</w:t>
            </w:r>
          </w:p>
        </w:tc>
        <w:tc>
          <w:tcPr>
            <w:tcW w:w="100" w:type="dxa"/>
            <w:vAlign w:val="bottom"/>
            <w:shd w:val="clear" w:color="auto" w:fill="F3F3F3"/>
          </w:tcPr>
          <w:p>
            <w:pPr>
              <w:spacing w:after="0"/>
              <w:rPr>
                <w:sz w:val="10"/>
                <w:szCs w:val="10"/>
                <w:color w:val="auto"/>
              </w:rPr>
            </w:pPr>
          </w:p>
        </w:tc>
        <w:tc>
          <w:tcPr>
            <w:tcW w:w="12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rPr>
              <w:t>(314,656)</w:t>
            </w:r>
          </w:p>
        </w:tc>
        <w:tc>
          <w:tcPr>
            <w:tcW w:w="100" w:type="dxa"/>
            <w:vAlign w:val="bottom"/>
            <w:shd w:val="clear" w:color="auto" w:fill="F3F3F3"/>
          </w:tcPr>
          <w:p>
            <w:pPr>
              <w:spacing w:after="0"/>
              <w:rPr>
                <w:sz w:val="10"/>
                <w:szCs w:val="10"/>
                <w:color w:val="auto"/>
              </w:rPr>
            </w:pPr>
          </w:p>
        </w:tc>
        <w:tc>
          <w:tcPr>
            <w:tcW w:w="12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106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rPr>
              <w:t>(1,179)</w:t>
            </w:r>
          </w:p>
        </w:tc>
        <w:tc>
          <w:tcPr>
            <w:tcW w:w="100" w:type="dxa"/>
            <w:vAlign w:val="bottom"/>
            <w:shd w:val="clear" w:color="auto" w:fill="F3F3F3"/>
          </w:tcPr>
          <w:p>
            <w:pPr>
              <w:spacing w:after="0"/>
              <w:rPr>
                <w:sz w:val="10"/>
                <w:szCs w:val="10"/>
                <w:color w:val="auto"/>
              </w:rPr>
            </w:pPr>
          </w:p>
        </w:tc>
        <w:tc>
          <w:tcPr>
            <w:tcW w:w="10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96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1,227,830</w:t>
            </w:r>
          </w:p>
        </w:tc>
        <w:tc>
          <w:tcPr>
            <w:tcW w:w="100" w:type="dxa"/>
            <w:vAlign w:val="bottom"/>
            <w:shd w:val="clear" w:color="auto" w:fill="F3F3F3"/>
          </w:tcPr>
          <w:p>
            <w:pPr>
              <w:spacing w:after="0"/>
              <w:rPr>
                <w:sz w:val="10"/>
                <w:szCs w:val="10"/>
                <w:color w:val="auto"/>
              </w:rPr>
            </w:pPr>
          </w:p>
        </w:tc>
        <w:tc>
          <w:tcPr>
            <w:tcW w:w="10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102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187,943</w:t>
            </w:r>
          </w:p>
        </w:tc>
        <w:tc>
          <w:tcPr>
            <w:tcW w:w="100" w:type="dxa"/>
            <w:vAlign w:val="bottom"/>
            <w:shd w:val="clear" w:color="auto" w:fill="F3F3F3"/>
          </w:tcPr>
          <w:p>
            <w:pPr>
              <w:spacing w:after="0"/>
              <w:rPr>
                <w:sz w:val="10"/>
                <w:szCs w:val="10"/>
                <w:color w:val="auto"/>
              </w:rPr>
            </w:pPr>
          </w:p>
        </w:tc>
        <w:tc>
          <w:tcPr>
            <w:tcW w:w="120" w:type="dxa"/>
            <w:vAlign w:val="bottom"/>
            <w:vMerge w:val="restart"/>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96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1,415,773</w:t>
            </w:r>
          </w:p>
        </w:tc>
        <w:tc>
          <w:tcPr>
            <w:tcW w:w="0" w:type="dxa"/>
            <w:vAlign w:val="bottom"/>
          </w:tcPr>
          <w:p>
            <w:pPr>
              <w:spacing w:after="0"/>
              <w:rPr>
                <w:sz w:val="1"/>
                <w:szCs w:val="1"/>
                <w:color w:val="auto"/>
              </w:rPr>
            </w:pPr>
          </w:p>
        </w:tc>
      </w:tr>
      <w:tr>
        <w:trPr>
          <w:trHeight w:val="158"/>
        </w:trPr>
        <w:tc>
          <w:tcPr>
            <w:tcW w:w="1800" w:type="dxa"/>
            <w:vAlign w:val="bottom"/>
            <w:shd w:val="clear" w:color="auto" w:fill="F3F3F3"/>
          </w:tcPr>
          <w:p>
            <w:pPr>
              <w:ind w:left="100"/>
              <w:spacing w:after="0"/>
              <w:rPr>
                <w:sz w:val="20"/>
                <w:szCs w:val="20"/>
                <w:color w:val="auto"/>
              </w:rPr>
            </w:pPr>
            <w:r>
              <w:rPr>
                <w:rFonts w:ascii="Arial" w:cs="Arial" w:eastAsia="Arial" w:hAnsi="Arial"/>
                <w:sz w:val="12"/>
                <w:szCs w:val="12"/>
                <w:b w:val="1"/>
                <w:bCs w:val="1"/>
                <w:color w:val="auto"/>
              </w:rPr>
              <w:t>2024</w:t>
            </w:r>
          </w:p>
        </w:tc>
        <w:tc>
          <w:tcPr>
            <w:tcW w:w="112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vMerge w:val="continue"/>
            <w:shd w:val="clear" w:color="auto" w:fill="F3F3F3"/>
          </w:tcPr>
          <w:p>
            <w:pPr>
              <w:spacing w:after="0"/>
              <w:rPr>
                <w:sz w:val="13"/>
                <w:szCs w:val="13"/>
                <w:color w:val="auto"/>
              </w:rPr>
            </w:pPr>
          </w:p>
        </w:tc>
        <w:tc>
          <w:tcPr>
            <w:tcW w:w="64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vMerge w:val="continue"/>
            <w:shd w:val="clear" w:color="auto" w:fill="F3F3F3"/>
          </w:tcPr>
          <w:p>
            <w:pPr>
              <w:spacing w:after="0"/>
              <w:rPr>
                <w:sz w:val="13"/>
                <w:szCs w:val="13"/>
                <w:color w:val="auto"/>
              </w:rPr>
            </w:pPr>
          </w:p>
        </w:tc>
        <w:tc>
          <w:tcPr>
            <w:tcW w:w="740" w:type="dxa"/>
            <w:vAlign w:val="bottom"/>
            <w:vMerge w:val="continue"/>
            <w:shd w:val="clear" w:color="auto" w:fill="F3F3F3"/>
          </w:tcPr>
          <w:p>
            <w:pPr>
              <w:spacing w:after="0"/>
              <w:rPr>
                <w:sz w:val="13"/>
                <w:szCs w:val="13"/>
                <w:color w:val="auto"/>
              </w:rPr>
            </w:pPr>
          </w:p>
        </w:tc>
        <w:tc>
          <w:tcPr>
            <w:tcW w:w="80" w:type="dxa"/>
            <w:vAlign w:val="bottom"/>
            <w:shd w:val="clear" w:color="auto" w:fill="F3F3F3"/>
          </w:tcPr>
          <w:p>
            <w:pPr>
              <w:spacing w:after="0"/>
              <w:rPr>
                <w:sz w:val="13"/>
                <w:szCs w:val="13"/>
                <w:color w:val="auto"/>
              </w:rPr>
            </w:pPr>
          </w:p>
        </w:tc>
        <w:tc>
          <w:tcPr>
            <w:tcW w:w="100" w:type="dxa"/>
            <w:vAlign w:val="bottom"/>
            <w:vMerge w:val="continue"/>
            <w:shd w:val="clear" w:color="auto" w:fill="F3F3F3"/>
          </w:tcPr>
          <w:p>
            <w:pPr>
              <w:spacing w:after="0"/>
              <w:rPr>
                <w:sz w:val="13"/>
                <w:szCs w:val="13"/>
                <w:color w:val="auto"/>
              </w:rPr>
            </w:pPr>
          </w:p>
        </w:tc>
        <w:tc>
          <w:tcPr>
            <w:tcW w:w="64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20" w:type="dxa"/>
            <w:vAlign w:val="bottom"/>
            <w:vMerge w:val="continue"/>
            <w:shd w:val="clear" w:color="auto" w:fill="F3F3F3"/>
          </w:tcPr>
          <w:p>
            <w:pPr>
              <w:spacing w:after="0"/>
              <w:rPr>
                <w:sz w:val="13"/>
                <w:szCs w:val="13"/>
                <w:color w:val="auto"/>
              </w:rPr>
            </w:pPr>
          </w:p>
        </w:tc>
        <w:tc>
          <w:tcPr>
            <w:tcW w:w="6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20" w:type="dxa"/>
            <w:vAlign w:val="bottom"/>
            <w:vMerge w:val="continue"/>
            <w:shd w:val="clear" w:color="auto" w:fill="F3F3F3"/>
          </w:tcPr>
          <w:p>
            <w:pPr>
              <w:spacing w:after="0"/>
              <w:rPr>
                <w:sz w:val="13"/>
                <w:szCs w:val="13"/>
                <w:color w:val="auto"/>
              </w:rPr>
            </w:pPr>
          </w:p>
        </w:tc>
        <w:tc>
          <w:tcPr>
            <w:tcW w:w="10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vMerge w:val="continue"/>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vMerge w:val="continue"/>
            <w:shd w:val="clear" w:color="auto" w:fill="F3F3F3"/>
          </w:tcPr>
          <w:p>
            <w:pPr>
              <w:spacing w:after="0"/>
              <w:rPr>
                <w:sz w:val="13"/>
                <w:szCs w:val="13"/>
                <w:color w:val="auto"/>
              </w:rPr>
            </w:pPr>
          </w:p>
        </w:tc>
        <w:tc>
          <w:tcPr>
            <w:tcW w:w="102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20" w:type="dxa"/>
            <w:vAlign w:val="bottom"/>
            <w:vMerge w:val="continue"/>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800" w:type="dxa"/>
            <w:vAlign w:val="bottom"/>
          </w:tcPr>
          <w:p>
            <w:pPr>
              <w:ind w:left="100"/>
              <w:spacing w:after="0"/>
              <w:rPr>
                <w:sz w:val="20"/>
                <w:szCs w:val="20"/>
                <w:color w:val="auto"/>
              </w:rPr>
            </w:pPr>
            <w:r>
              <w:rPr>
                <w:rFonts w:ascii="Arial" w:cs="Arial" w:eastAsia="Arial" w:hAnsi="Arial"/>
                <w:sz w:val="12"/>
                <w:szCs w:val="12"/>
                <w:color w:val="auto"/>
              </w:rPr>
              <w:t>Net income/(loss)</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64,915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64,915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(28,147)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36,768</w:t>
            </w:r>
          </w:p>
        </w:tc>
        <w:tc>
          <w:tcPr>
            <w:tcW w:w="0" w:type="dxa"/>
            <w:vAlign w:val="bottom"/>
          </w:tcPr>
          <w:p>
            <w:pPr>
              <w:spacing w:after="0"/>
              <w:rPr>
                <w:sz w:val="1"/>
                <w:szCs w:val="1"/>
                <w:color w:val="auto"/>
              </w:rPr>
            </w:pPr>
          </w:p>
        </w:tc>
      </w:tr>
      <w:tr>
        <w:trPr>
          <w:trHeight w:val="185"/>
        </w:trPr>
        <w:tc>
          <w:tcPr>
            <w:tcW w:w="1800" w:type="dxa"/>
            <w:vAlign w:val="bottom"/>
            <w:shd w:val="clear" w:color="auto" w:fill="F3F3F3"/>
          </w:tcPr>
          <w:p>
            <w:pPr>
              <w:ind w:left="100"/>
              <w:spacing w:after="0"/>
              <w:rPr>
                <w:sz w:val="20"/>
                <w:szCs w:val="20"/>
                <w:color w:val="auto"/>
              </w:rPr>
            </w:pPr>
            <w:r>
              <w:rPr>
                <w:rFonts w:ascii="Arial" w:cs="Arial" w:eastAsia="Arial" w:hAnsi="Arial"/>
                <w:sz w:val="12"/>
                <w:szCs w:val="12"/>
                <w:color w:val="auto"/>
              </w:rPr>
              <w:t>Dividends declared</w:t>
            </w:r>
          </w:p>
        </w:tc>
        <w:tc>
          <w:tcPr>
            <w:tcW w:w="122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74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820" w:type="dxa"/>
            <w:vAlign w:val="bottom"/>
            <w:gridSpan w:val="2"/>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640" w:type="dxa"/>
            <w:vAlign w:val="bottom"/>
            <w:shd w:val="clear" w:color="auto" w:fill="F3F3F3"/>
          </w:tcPr>
          <w:p>
            <w:pPr>
              <w:jc w:val="right"/>
              <w:spacing w:after="0"/>
              <w:rPr>
                <w:sz w:val="20"/>
                <w:szCs w:val="20"/>
                <w:color w:val="auto"/>
              </w:rPr>
            </w:pPr>
            <w:r>
              <w:rPr>
                <w:rFonts w:ascii="Arial" w:cs="Arial" w:eastAsia="Arial" w:hAnsi="Arial"/>
                <w:sz w:val="12"/>
                <w:szCs w:val="12"/>
                <w:color w:val="auto"/>
              </w:rPr>
              <w:t>(70,261)</w:t>
            </w:r>
          </w:p>
        </w:tc>
        <w:tc>
          <w:tcPr>
            <w:tcW w:w="100" w:type="dxa"/>
            <w:vAlign w:val="bottom"/>
            <w:shd w:val="clear" w:color="auto" w:fill="F3F3F3"/>
          </w:tcPr>
          <w:p>
            <w:pPr>
              <w:spacing w:after="0"/>
              <w:rPr>
                <w:sz w:val="16"/>
                <w:szCs w:val="16"/>
                <w:color w:val="auto"/>
              </w:rPr>
            </w:pPr>
          </w:p>
        </w:tc>
        <w:tc>
          <w:tcPr>
            <w:tcW w:w="120" w:type="dxa"/>
            <w:vAlign w:val="bottom"/>
            <w:shd w:val="clear" w:color="auto" w:fill="F3F3F3"/>
          </w:tcPr>
          <w:p>
            <w:pPr>
              <w:spacing w:after="0"/>
              <w:rPr>
                <w:sz w:val="16"/>
                <w:szCs w:val="16"/>
                <w:color w:val="auto"/>
              </w:rPr>
            </w:pPr>
          </w:p>
        </w:tc>
        <w:tc>
          <w:tcPr>
            <w:tcW w:w="76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6"/>
                <w:szCs w:val="16"/>
                <w:color w:val="auto"/>
              </w:rPr>
            </w:pPr>
          </w:p>
        </w:tc>
        <w:tc>
          <w:tcPr>
            <w:tcW w:w="116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6"/>
                <w:szCs w:val="16"/>
                <w:color w:val="auto"/>
              </w:rPr>
            </w:pPr>
          </w:p>
        </w:tc>
        <w:tc>
          <w:tcPr>
            <w:tcW w:w="960" w:type="dxa"/>
            <w:vAlign w:val="bottom"/>
            <w:shd w:val="clear" w:color="auto" w:fill="F3F3F3"/>
          </w:tcPr>
          <w:p>
            <w:pPr>
              <w:jc w:val="right"/>
              <w:spacing w:after="0"/>
              <w:rPr>
                <w:sz w:val="20"/>
                <w:szCs w:val="20"/>
                <w:color w:val="auto"/>
              </w:rPr>
            </w:pPr>
            <w:r>
              <w:rPr>
                <w:rFonts w:ascii="Arial" w:cs="Arial" w:eastAsia="Arial" w:hAnsi="Arial"/>
                <w:sz w:val="12"/>
                <w:szCs w:val="12"/>
                <w:color w:val="auto"/>
              </w:rPr>
              <w:t>(70,261)</w:t>
            </w:r>
          </w:p>
        </w:tc>
        <w:tc>
          <w:tcPr>
            <w:tcW w:w="100" w:type="dxa"/>
            <w:vAlign w:val="bottom"/>
            <w:shd w:val="clear" w:color="auto" w:fill="F3F3F3"/>
          </w:tcPr>
          <w:p>
            <w:pPr>
              <w:spacing w:after="0"/>
              <w:rPr>
                <w:sz w:val="16"/>
                <w:szCs w:val="16"/>
                <w:color w:val="auto"/>
              </w:rPr>
            </w:pPr>
          </w:p>
        </w:tc>
        <w:tc>
          <w:tcPr>
            <w:tcW w:w="100" w:type="dxa"/>
            <w:vAlign w:val="bottom"/>
            <w:shd w:val="clear" w:color="auto" w:fill="F3F3F3"/>
          </w:tcPr>
          <w:p>
            <w:pPr>
              <w:spacing w:after="0"/>
              <w:rPr>
                <w:sz w:val="16"/>
                <w:szCs w:val="16"/>
                <w:color w:val="auto"/>
              </w:rPr>
            </w:pPr>
          </w:p>
        </w:tc>
        <w:tc>
          <w:tcPr>
            <w:tcW w:w="112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6"/>
                <w:szCs w:val="16"/>
                <w:color w:val="auto"/>
              </w:rPr>
            </w:pPr>
          </w:p>
        </w:tc>
        <w:tc>
          <w:tcPr>
            <w:tcW w:w="960" w:type="dxa"/>
            <w:vAlign w:val="bottom"/>
            <w:shd w:val="clear" w:color="auto" w:fill="F3F3F3"/>
          </w:tcPr>
          <w:p>
            <w:pPr>
              <w:jc w:val="right"/>
              <w:spacing w:after="0"/>
              <w:rPr>
                <w:sz w:val="20"/>
                <w:szCs w:val="20"/>
                <w:color w:val="auto"/>
              </w:rPr>
            </w:pPr>
            <w:r>
              <w:rPr>
                <w:rFonts w:ascii="Arial" w:cs="Arial" w:eastAsia="Arial" w:hAnsi="Arial"/>
                <w:sz w:val="12"/>
                <w:szCs w:val="12"/>
                <w:color w:val="auto"/>
              </w:rPr>
              <w:t>(70,261)</w:t>
            </w:r>
          </w:p>
        </w:tc>
        <w:tc>
          <w:tcPr>
            <w:tcW w:w="0" w:type="dxa"/>
            <w:vAlign w:val="bottom"/>
          </w:tcPr>
          <w:p>
            <w:pPr>
              <w:spacing w:after="0"/>
              <w:rPr>
                <w:sz w:val="1"/>
                <w:szCs w:val="1"/>
                <w:color w:val="auto"/>
              </w:rPr>
            </w:pPr>
          </w:p>
        </w:tc>
      </w:tr>
      <w:tr>
        <w:trPr>
          <w:trHeight w:val="127"/>
        </w:trPr>
        <w:tc>
          <w:tcPr>
            <w:tcW w:w="1800" w:type="dxa"/>
            <w:vAlign w:val="bottom"/>
          </w:tcPr>
          <w:p>
            <w:pPr>
              <w:ind w:left="100"/>
              <w:spacing w:after="0" w:line="128" w:lineRule="exact"/>
              <w:rPr>
                <w:sz w:val="20"/>
                <w:szCs w:val="20"/>
                <w:color w:val="auto"/>
              </w:rPr>
            </w:pPr>
            <w:r>
              <w:rPr>
                <w:rFonts w:ascii="Arial" w:cs="Arial" w:eastAsia="Arial" w:hAnsi="Arial"/>
                <w:sz w:val="12"/>
                <w:szCs w:val="12"/>
                <w:color w:val="auto"/>
              </w:rPr>
              <w:t>Amortization/issuance of</w:t>
            </w: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68,664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color w:val="auto"/>
              </w:rPr>
              <w:t>68,664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color w:val="auto"/>
              </w:rPr>
              <w:t>68,664</w:t>
            </w:r>
          </w:p>
        </w:tc>
        <w:tc>
          <w:tcPr>
            <w:tcW w:w="0" w:type="dxa"/>
            <w:vAlign w:val="bottom"/>
          </w:tcPr>
          <w:p>
            <w:pPr>
              <w:spacing w:after="0"/>
              <w:rPr>
                <w:sz w:val="1"/>
                <w:szCs w:val="1"/>
                <w:color w:val="auto"/>
              </w:rPr>
            </w:pPr>
          </w:p>
        </w:tc>
      </w:tr>
      <w:tr>
        <w:trPr>
          <w:trHeight w:val="154"/>
        </w:trPr>
        <w:tc>
          <w:tcPr>
            <w:tcW w:w="1800" w:type="dxa"/>
            <w:vAlign w:val="bottom"/>
          </w:tcPr>
          <w:p>
            <w:pPr>
              <w:ind w:left="180"/>
              <w:spacing w:after="0"/>
              <w:rPr>
                <w:sz w:val="20"/>
                <w:szCs w:val="20"/>
                <w:color w:val="auto"/>
              </w:rPr>
            </w:pPr>
            <w:r>
              <w:rPr>
                <w:rFonts w:ascii="Arial" w:cs="Arial" w:eastAsia="Arial" w:hAnsi="Arial"/>
                <w:sz w:val="12"/>
                <w:szCs w:val="12"/>
                <w:color w:val="auto"/>
              </w:rPr>
              <w:t>restricted stock (2)</w:t>
            </w:r>
          </w:p>
        </w:tc>
        <w:tc>
          <w:tcPr>
            <w:tcW w:w="1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00" w:type="dxa"/>
            <w:vAlign w:val="bottom"/>
            <w:shd w:val="clear" w:color="auto" w:fill="F3F3F3"/>
          </w:tcPr>
          <w:p>
            <w:pPr>
              <w:ind w:left="100"/>
              <w:spacing w:after="0" w:line="130" w:lineRule="exact"/>
              <w:rPr>
                <w:sz w:val="20"/>
                <w:szCs w:val="20"/>
                <w:color w:val="auto"/>
              </w:rPr>
            </w:pPr>
            <w:r>
              <w:rPr>
                <w:rFonts w:ascii="Arial" w:cs="Arial" w:eastAsia="Arial" w:hAnsi="Arial"/>
                <w:sz w:val="12"/>
                <w:szCs w:val="12"/>
                <w:color w:val="auto"/>
              </w:rPr>
              <w:t>Issuance of treasury shares</w:t>
            </w:r>
          </w:p>
        </w:tc>
        <w:tc>
          <w:tcPr>
            <w:tcW w:w="112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60,000</w:t>
            </w: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74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1"/>
                <w:szCs w:val="11"/>
                <w:color w:val="auto"/>
              </w:rPr>
            </w:pPr>
          </w:p>
        </w:tc>
        <w:tc>
          <w:tcPr>
            <w:tcW w:w="74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16</w:t>
            </w:r>
          </w:p>
        </w:tc>
        <w:tc>
          <w:tcPr>
            <w:tcW w:w="8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740" w:type="dxa"/>
            <w:vAlign w:val="bottom"/>
            <w:gridSpan w:val="2"/>
            <w:vMerge w:val="restart"/>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1"/>
                <w:szCs w:val="11"/>
                <w:color w:val="auto"/>
              </w:rPr>
            </w:pPr>
          </w:p>
        </w:tc>
        <w:tc>
          <w:tcPr>
            <w:tcW w:w="66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1,469</w:t>
            </w:r>
          </w:p>
        </w:tc>
        <w:tc>
          <w:tcPr>
            <w:tcW w:w="100" w:type="dxa"/>
            <w:vAlign w:val="bottom"/>
            <w:shd w:val="clear" w:color="auto" w:fill="F3F3F3"/>
          </w:tcPr>
          <w:p>
            <w:pPr>
              <w:spacing w:after="0"/>
              <w:rPr>
                <w:sz w:val="11"/>
                <w:szCs w:val="11"/>
                <w:color w:val="auto"/>
              </w:rPr>
            </w:pPr>
          </w:p>
        </w:tc>
        <w:tc>
          <w:tcPr>
            <w:tcW w:w="120" w:type="dxa"/>
            <w:vAlign w:val="bottom"/>
            <w:shd w:val="clear" w:color="auto" w:fill="F3F3F3"/>
          </w:tcPr>
          <w:p>
            <w:pPr>
              <w:spacing w:after="0"/>
              <w:rPr>
                <w:sz w:val="11"/>
                <w:szCs w:val="11"/>
                <w:color w:val="auto"/>
              </w:rPr>
            </w:pPr>
          </w:p>
        </w:tc>
        <w:tc>
          <w:tcPr>
            <w:tcW w:w="116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1"/>
                <w:szCs w:val="11"/>
                <w:color w:val="auto"/>
              </w:rPr>
            </w:pPr>
          </w:p>
        </w:tc>
        <w:tc>
          <w:tcPr>
            <w:tcW w:w="96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1,485</w:t>
            </w: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12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1"/>
                <w:szCs w:val="11"/>
                <w:color w:val="auto"/>
              </w:rPr>
            </w:pPr>
          </w:p>
        </w:tc>
        <w:tc>
          <w:tcPr>
            <w:tcW w:w="960" w:type="dxa"/>
            <w:vAlign w:val="bottom"/>
            <w:vMerge w:val="restart"/>
            <w:shd w:val="clear" w:color="auto" w:fill="F3F3F3"/>
          </w:tcPr>
          <w:p>
            <w:pPr>
              <w:jc w:val="right"/>
              <w:ind w:right="2"/>
              <w:spacing w:after="0"/>
              <w:rPr>
                <w:sz w:val="20"/>
                <w:szCs w:val="20"/>
                <w:color w:val="auto"/>
              </w:rPr>
            </w:pPr>
            <w:r>
              <w:rPr>
                <w:rFonts w:ascii="Arial" w:cs="Arial" w:eastAsia="Arial" w:hAnsi="Arial"/>
                <w:sz w:val="12"/>
                <w:szCs w:val="12"/>
                <w:color w:val="auto"/>
              </w:rPr>
              <w:t>1,485</w:t>
            </w:r>
          </w:p>
        </w:tc>
        <w:tc>
          <w:tcPr>
            <w:tcW w:w="0" w:type="dxa"/>
            <w:vAlign w:val="bottom"/>
          </w:tcPr>
          <w:p>
            <w:pPr>
              <w:spacing w:after="0"/>
              <w:rPr>
                <w:sz w:val="1"/>
                <w:szCs w:val="1"/>
                <w:color w:val="auto"/>
              </w:rPr>
            </w:pPr>
          </w:p>
        </w:tc>
      </w:tr>
      <w:tr>
        <w:trPr>
          <w:trHeight w:val="156"/>
        </w:trPr>
        <w:tc>
          <w:tcPr>
            <w:tcW w:w="1800" w:type="dxa"/>
            <w:vAlign w:val="bottom"/>
            <w:shd w:val="clear" w:color="auto" w:fill="F3F3F3"/>
          </w:tcPr>
          <w:p>
            <w:pPr>
              <w:ind w:left="180"/>
              <w:spacing w:after="0"/>
              <w:rPr>
                <w:sz w:val="20"/>
                <w:szCs w:val="20"/>
                <w:color w:val="auto"/>
              </w:rPr>
            </w:pPr>
            <w:r>
              <w:rPr>
                <w:rFonts w:ascii="Arial" w:cs="Arial" w:eastAsia="Arial" w:hAnsi="Arial"/>
                <w:sz w:val="12"/>
                <w:szCs w:val="12"/>
                <w:color w:val="auto"/>
              </w:rPr>
              <w:t>for options exercised</w:t>
            </w:r>
          </w:p>
        </w:tc>
        <w:tc>
          <w:tcPr>
            <w:tcW w:w="112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gridSpan w:val="2"/>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vMerge w:val="continue"/>
            <w:shd w:val="clear" w:color="auto" w:fill="F3F3F3"/>
          </w:tcPr>
          <w:p>
            <w:pPr>
              <w:spacing w:after="0"/>
              <w:rPr>
                <w:sz w:val="13"/>
                <w:szCs w:val="13"/>
                <w:color w:val="auto"/>
              </w:rPr>
            </w:pPr>
          </w:p>
        </w:tc>
        <w:tc>
          <w:tcPr>
            <w:tcW w:w="80" w:type="dxa"/>
            <w:vAlign w:val="bottom"/>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gridSpan w:val="2"/>
            <w:vMerge w:val="continue"/>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6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1160" w:type="dxa"/>
            <w:vAlign w:val="bottom"/>
            <w:gridSpan w:val="2"/>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120" w:type="dxa"/>
            <w:vAlign w:val="bottom"/>
            <w:gridSpan w:val="2"/>
            <w:vMerge w:val="continue"/>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800" w:type="dxa"/>
            <w:vAlign w:val="bottom"/>
          </w:tcPr>
          <w:p>
            <w:pPr>
              <w:ind w:left="100"/>
              <w:spacing w:after="0" w:line="128" w:lineRule="exact"/>
              <w:rPr>
                <w:sz w:val="20"/>
                <w:szCs w:val="20"/>
                <w:color w:val="auto"/>
              </w:rPr>
            </w:pPr>
            <w:r>
              <w:rPr>
                <w:rFonts w:ascii="Arial" w:cs="Arial" w:eastAsia="Arial" w:hAnsi="Arial"/>
                <w:sz w:val="12"/>
                <w:szCs w:val="12"/>
                <w:color w:val="auto"/>
              </w:rPr>
              <w:t>Issuance of treasury shares</w:t>
            </w:r>
          </w:p>
        </w:tc>
        <w:tc>
          <w:tcPr>
            <w:tcW w:w="1120" w:type="dxa"/>
            <w:vAlign w:val="bottom"/>
            <w:vMerge w:val="restart"/>
          </w:tcPr>
          <w:p>
            <w:pPr>
              <w:jc w:val="right"/>
              <w:ind w:right="2"/>
              <w:spacing w:after="0"/>
              <w:rPr>
                <w:sz w:val="20"/>
                <w:szCs w:val="20"/>
                <w:color w:val="auto"/>
              </w:rPr>
            </w:pPr>
            <w:r>
              <w:rPr>
                <w:rFonts w:ascii="Arial" w:cs="Arial" w:eastAsia="Arial" w:hAnsi="Arial"/>
                <w:sz w:val="12"/>
                <w:szCs w:val="12"/>
                <w:color w:val="auto"/>
              </w:rPr>
              <w:t>2,616,192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2"/>
                <w:szCs w:val="12"/>
                <w:color w:val="auto"/>
              </w:rPr>
              <w:t>(63,105)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660" w:type="dxa"/>
            <w:vAlign w:val="bottom"/>
            <w:vMerge w:val="restart"/>
          </w:tcPr>
          <w:p>
            <w:pPr>
              <w:jc w:val="right"/>
              <w:ind w:right="2"/>
              <w:spacing w:after="0"/>
              <w:rPr>
                <w:sz w:val="20"/>
                <w:szCs w:val="20"/>
                <w:color w:val="auto"/>
              </w:rPr>
            </w:pPr>
            <w:r>
              <w:rPr>
                <w:rFonts w:ascii="Arial" w:cs="Arial" w:eastAsia="Arial" w:hAnsi="Arial"/>
                <w:sz w:val="12"/>
                <w:szCs w:val="12"/>
                <w:color w:val="auto"/>
              </w:rPr>
              <w:t>63,105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800" w:type="dxa"/>
            <w:vAlign w:val="bottom"/>
          </w:tcPr>
          <w:p>
            <w:pPr>
              <w:ind w:left="180"/>
              <w:spacing w:after="0"/>
              <w:rPr>
                <w:sz w:val="20"/>
                <w:szCs w:val="20"/>
                <w:color w:val="auto"/>
              </w:rPr>
            </w:pPr>
            <w:r>
              <w:rPr>
                <w:rFonts w:ascii="Arial" w:cs="Arial" w:eastAsia="Arial" w:hAnsi="Arial"/>
                <w:sz w:val="12"/>
                <w:szCs w:val="12"/>
                <w:color w:val="auto"/>
              </w:rPr>
              <w:t>for restricted stock vestings</w:t>
            </w: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00" w:type="dxa"/>
            <w:vAlign w:val="bottom"/>
            <w:shd w:val="clear" w:color="auto" w:fill="F3F3F3"/>
          </w:tcPr>
          <w:p>
            <w:pPr>
              <w:ind w:left="100"/>
              <w:spacing w:after="0" w:line="130" w:lineRule="exact"/>
              <w:rPr>
                <w:sz w:val="20"/>
                <w:szCs w:val="20"/>
                <w:color w:val="auto"/>
              </w:rPr>
            </w:pPr>
            <w:r>
              <w:rPr>
                <w:rFonts w:ascii="Arial" w:cs="Arial" w:eastAsia="Arial" w:hAnsi="Arial"/>
                <w:sz w:val="12"/>
                <w:szCs w:val="12"/>
                <w:color w:val="auto"/>
              </w:rPr>
              <w:t>Repurchase of common stock</w:t>
            </w:r>
          </w:p>
        </w:tc>
        <w:tc>
          <w:tcPr>
            <w:tcW w:w="1120" w:type="dxa"/>
            <w:vAlign w:val="bottom"/>
            <w:vMerge w:val="restart"/>
            <w:shd w:val="clear" w:color="auto" w:fill="F3F3F3"/>
          </w:tcPr>
          <w:p>
            <w:pPr>
              <w:jc w:val="right"/>
              <w:spacing w:after="0"/>
              <w:rPr>
                <w:sz w:val="20"/>
                <w:szCs w:val="20"/>
                <w:color w:val="auto"/>
              </w:rPr>
            </w:pPr>
            <w:r>
              <w:rPr>
                <w:rFonts w:ascii="Arial" w:cs="Arial" w:eastAsia="Arial" w:hAnsi="Arial"/>
                <w:sz w:val="12"/>
                <w:szCs w:val="12"/>
                <w:color w:val="auto"/>
              </w:rPr>
              <w:t>(1,064,240)</w:t>
            </w: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74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1"/>
                <w:szCs w:val="11"/>
                <w:color w:val="auto"/>
              </w:rPr>
            </w:pPr>
          </w:p>
        </w:tc>
        <w:tc>
          <w:tcPr>
            <w:tcW w:w="820" w:type="dxa"/>
            <w:vAlign w:val="bottom"/>
            <w:gridSpan w:val="2"/>
            <w:vMerge w:val="restart"/>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1"/>
                <w:szCs w:val="11"/>
                <w:color w:val="auto"/>
              </w:rPr>
            </w:pPr>
          </w:p>
        </w:tc>
        <w:tc>
          <w:tcPr>
            <w:tcW w:w="740" w:type="dxa"/>
            <w:vAlign w:val="bottom"/>
            <w:gridSpan w:val="2"/>
            <w:vMerge w:val="restart"/>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1"/>
                <w:szCs w:val="11"/>
                <w:color w:val="auto"/>
              </w:rPr>
            </w:pPr>
          </w:p>
        </w:tc>
        <w:tc>
          <w:tcPr>
            <w:tcW w:w="660" w:type="dxa"/>
            <w:vAlign w:val="bottom"/>
            <w:vMerge w:val="restart"/>
            <w:shd w:val="clear" w:color="auto" w:fill="F3F3F3"/>
          </w:tcPr>
          <w:p>
            <w:pPr>
              <w:jc w:val="right"/>
              <w:spacing w:after="0"/>
              <w:rPr>
                <w:sz w:val="20"/>
                <w:szCs w:val="20"/>
                <w:color w:val="auto"/>
              </w:rPr>
            </w:pPr>
            <w:r>
              <w:rPr>
                <w:rFonts w:ascii="Arial" w:cs="Arial" w:eastAsia="Arial" w:hAnsi="Arial"/>
                <w:sz w:val="12"/>
                <w:szCs w:val="12"/>
                <w:color w:val="auto"/>
              </w:rPr>
              <w:t>(80,629)</w:t>
            </w:r>
          </w:p>
        </w:tc>
        <w:tc>
          <w:tcPr>
            <w:tcW w:w="100" w:type="dxa"/>
            <w:vAlign w:val="bottom"/>
            <w:shd w:val="clear" w:color="auto" w:fill="F3F3F3"/>
          </w:tcPr>
          <w:p>
            <w:pPr>
              <w:spacing w:after="0"/>
              <w:rPr>
                <w:sz w:val="11"/>
                <w:szCs w:val="11"/>
                <w:color w:val="auto"/>
              </w:rPr>
            </w:pPr>
          </w:p>
        </w:tc>
        <w:tc>
          <w:tcPr>
            <w:tcW w:w="120" w:type="dxa"/>
            <w:vAlign w:val="bottom"/>
            <w:shd w:val="clear" w:color="auto" w:fill="F3F3F3"/>
          </w:tcPr>
          <w:p>
            <w:pPr>
              <w:spacing w:after="0"/>
              <w:rPr>
                <w:sz w:val="11"/>
                <w:szCs w:val="11"/>
                <w:color w:val="auto"/>
              </w:rPr>
            </w:pPr>
          </w:p>
        </w:tc>
        <w:tc>
          <w:tcPr>
            <w:tcW w:w="116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1"/>
                <w:szCs w:val="11"/>
                <w:color w:val="auto"/>
              </w:rPr>
            </w:pPr>
          </w:p>
        </w:tc>
        <w:tc>
          <w:tcPr>
            <w:tcW w:w="960" w:type="dxa"/>
            <w:vAlign w:val="bottom"/>
            <w:vMerge w:val="restart"/>
            <w:shd w:val="clear" w:color="auto" w:fill="F3F3F3"/>
          </w:tcPr>
          <w:p>
            <w:pPr>
              <w:jc w:val="right"/>
              <w:spacing w:after="0"/>
              <w:rPr>
                <w:sz w:val="20"/>
                <w:szCs w:val="20"/>
                <w:color w:val="auto"/>
              </w:rPr>
            </w:pPr>
            <w:r>
              <w:rPr>
                <w:rFonts w:ascii="Arial" w:cs="Arial" w:eastAsia="Arial" w:hAnsi="Arial"/>
                <w:sz w:val="12"/>
                <w:szCs w:val="12"/>
                <w:color w:val="auto"/>
              </w:rPr>
              <w:t>(80,629)</w:t>
            </w:r>
          </w:p>
        </w:tc>
        <w:tc>
          <w:tcPr>
            <w:tcW w:w="100" w:type="dxa"/>
            <w:vAlign w:val="bottom"/>
            <w:shd w:val="clear" w:color="auto" w:fill="F3F3F3"/>
          </w:tcPr>
          <w:p>
            <w:pPr>
              <w:spacing w:after="0"/>
              <w:rPr>
                <w:sz w:val="11"/>
                <w:szCs w:val="11"/>
                <w:color w:val="auto"/>
              </w:rPr>
            </w:pPr>
          </w:p>
        </w:tc>
        <w:tc>
          <w:tcPr>
            <w:tcW w:w="100" w:type="dxa"/>
            <w:vAlign w:val="bottom"/>
            <w:shd w:val="clear" w:color="auto" w:fill="F3F3F3"/>
          </w:tcPr>
          <w:p>
            <w:pPr>
              <w:spacing w:after="0"/>
              <w:rPr>
                <w:sz w:val="11"/>
                <w:szCs w:val="11"/>
                <w:color w:val="auto"/>
              </w:rPr>
            </w:pPr>
          </w:p>
        </w:tc>
        <w:tc>
          <w:tcPr>
            <w:tcW w:w="1120" w:type="dxa"/>
            <w:vAlign w:val="bottom"/>
            <w:gridSpan w:val="2"/>
            <w:vMerge w:val="restart"/>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1"/>
                <w:szCs w:val="11"/>
                <w:color w:val="auto"/>
              </w:rPr>
            </w:pPr>
          </w:p>
        </w:tc>
        <w:tc>
          <w:tcPr>
            <w:tcW w:w="960" w:type="dxa"/>
            <w:vAlign w:val="bottom"/>
            <w:vMerge w:val="restart"/>
            <w:shd w:val="clear" w:color="auto" w:fill="F3F3F3"/>
          </w:tcPr>
          <w:p>
            <w:pPr>
              <w:jc w:val="right"/>
              <w:spacing w:after="0"/>
              <w:rPr>
                <w:sz w:val="20"/>
                <w:szCs w:val="20"/>
                <w:color w:val="auto"/>
              </w:rPr>
            </w:pPr>
            <w:r>
              <w:rPr>
                <w:rFonts w:ascii="Arial" w:cs="Arial" w:eastAsia="Arial" w:hAnsi="Arial"/>
                <w:sz w:val="12"/>
                <w:szCs w:val="12"/>
                <w:color w:val="auto"/>
              </w:rPr>
              <w:t>(80,629)</w:t>
            </w:r>
          </w:p>
        </w:tc>
        <w:tc>
          <w:tcPr>
            <w:tcW w:w="0" w:type="dxa"/>
            <w:vAlign w:val="bottom"/>
          </w:tcPr>
          <w:p>
            <w:pPr>
              <w:spacing w:after="0"/>
              <w:rPr>
                <w:sz w:val="1"/>
                <w:szCs w:val="1"/>
                <w:color w:val="auto"/>
              </w:rPr>
            </w:pPr>
          </w:p>
        </w:tc>
      </w:tr>
      <w:tr>
        <w:trPr>
          <w:trHeight w:val="156"/>
        </w:trPr>
        <w:tc>
          <w:tcPr>
            <w:tcW w:w="1800" w:type="dxa"/>
            <w:vAlign w:val="bottom"/>
            <w:shd w:val="clear" w:color="auto" w:fill="F3F3F3"/>
          </w:tcPr>
          <w:p>
            <w:pPr>
              <w:ind w:left="180"/>
              <w:spacing w:after="0"/>
              <w:rPr>
                <w:sz w:val="20"/>
                <w:szCs w:val="20"/>
                <w:color w:val="auto"/>
              </w:rPr>
            </w:pPr>
            <w:r>
              <w:rPr>
                <w:rFonts w:ascii="Arial" w:cs="Arial" w:eastAsia="Arial" w:hAnsi="Arial"/>
                <w:sz w:val="12"/>
                <w:szCs w:val="12"/>
                <w:color w:val="auto"/>
              </w:rPr>
              <w:t>from employees</w:t>
            </w:r>
          </w:p>
        </w:tc>
        <w:tc>
          <w:tcPr>
            <w:tcW w:w="112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gridSpan w:val="2"/>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820" w:type="dxa"/>
            <w:vAlign w:val="bottom"/>
            <w:gridSpan w:val="2"/>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740" w:type="dxa"/>
            <w:vAlign w:val="bottom"/>
            <w:gridSpan w:val="2"/>
            <w:vMerge w:val="continue"/>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6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1160" w:type="dxa"/>
            <w:vAlign w:val="bottom"/>
            <w:gridSpan w:val="2"/>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00" w:type="dxa"/>
            <w:vAlign w:val="bottom"/>
            <w:shd w:val="clear" w:color="auto" w:fill="F3F3F3"/>
          </w:tcPr>
          <w:p>
            <w:pPr>
              <w:spacing w:after="0"/>
              <w:rPr>
                <w:sz w:val="13"/>
                <w:szCs w:val="13"/>
                <w:color w:val="auto"/>
              </w:rPr>
            </w:pPr>
          </w:p>
        </w:tc>
        <w:tc>
          <w:tcPr>
            <w:tcW w:w="1120" w:type="dxa"/>
            <w:vAlign w:val="bottom"/>
            <w:gridSpan w:val="2"/>
            <w:vMerge w:val="continue"/>
            <w:shd w:val="clear" w:color="auto" w:fill="F3F3F3"/>
          </w:tcPr>
          <w:p>
            <w:pPr>
              <w:spacing w:after="0"/>
              <w:rPr>
                <w:sz w:val="13"/>
                <w:szCs w:val="13"/>
                <w:color w:val="auto"/>
              </w:rPr>
            </w:pPr>
          </w:p>
        </w:tc>
        <w:tc>
          <w:tcPr>
            <w:tcW w:w="120" w:type="dxa"/>
            <w:vAlign w:val="bottom"/>
            <w:shd w:val="clear" w:color="auto" w:fill="F3F3F3"/>
          </w:tcPr>
          <w:p>
            <w:pPr>
              <w:spacing w:after="0"/>
              <w:rPr>
                <w:sz w:val="13"/>
                <w:szCs w:val="13"/>
                <w:color w:val="auto"/>
              </w:rPr>
            </w:pPr>
          </w:p>
        </w:tc>
        <w:tc>
          <w:tcPr>
            <w:tcW w:w="960" w:type="dxa"/>
            <w:vAlign w:val="bottom"/>
            <w:vMerge w:val="continue"/>
            <w:shd w:val="clear" w:color="auto" w:fill="F3F3F3"/>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1800" w:type="dxa"/>
            <w:vAlign w:val="bottom"/>
          </w:tcPr>
          <w:p>
            <w:pPr>
              <w:ind w:left="100"/>
              <w:spacing w:after="0" w:line="128" w:lineRule="exact"/>
              <w:rPr>
                <w:sz w:val="20"/>
                <w:szCs w:val="20"/>
                <w:color w:val="auto"/>
              </w:rPr>
            </w:pPr>
            <w:r>
              <w:rPr>
                <w:rFonts w:ascii="Arial" w:cs="Arial" w:eastAsia="Arial" w:hAnsi="Arial"/>
                <w:sz w:val="12"/>
                <w:szCs w:val="12"/>
                <w:color w:val="auto"/>
              </w:rPr>
              <w:t>Shares reserved/issued for</w:t>
            </w:r>
          </w:p>
        </w:tc>
        <w:tc>
          <w:tcPr>
            <w:tcW w:w="1120" w:type="dxa"/>
            <w:vAlign w:val="bottom"/>
            <w:vMerge w:val="restart"/>
          </w:tcPr>
          <w:p>
            <w:pPr>
              <w:jc w:val="right"/>
              <w:ind w:right="2"/>
              <w:spacing w:after="0"/>
              <w:rPr>
                <w:sz w:val="20"/>
                <w:szCs w:val="20"/>
                <w:color w:val="auto"/>
              </w:rPr>
            </w:pPr>
            <w:r>
              <w:rPr>
                <w:rFonts w:ascii="Arial" w:cs="Arial" w:eastAsia="Arial" w:hAnsi="Arial"/>
                <w:sz w:val="12"/>
                <w:szCs w:val="12"/>
                <w:color w:val="auto"/>
              </w:rPr>
              <w:t>5,276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333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color w:val="auto"/>
              </w:rPr>
              <w:t>333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1"/>
                <w:szCs w:val="11"/>
                <w:color w:val="auto"/>
              </w:rPr>
            </w:pPr>
          </w:p>
        </w:tc>
        <w:tc>
          <w:tcPr>
            <w:tcW w:w="960" w:type="dxa"/>
            <w:vAlign w:val="bottom"/>
            <w:vMerge w:val="restart"/>
          </w:tcPr>
          <w:p>
            <w:pPr>
              <w:jc w:val="right"/>
              <w:ind w:right="2"/>
              <w:spacing w:after="0"/>
              <w:rPr>
                <w:sz w:val="20"/>
                <w:szCs w:val="20"/>
                <w:color w:val="auto"/>
              </w:rPr>
            </w:pPr>
            <w:r>
              <w:rPr>
                <w:rFonts w:ascii="Arial" w:cs="Arial" w:eastAsia="Arial" w:hAnsi="Arial"/>
                <w:sz w:val="12"/>
                <w:szCs w:val="12"/>
                <w:color w:val="auto"/>
              </w:rPr>
              <w:t>333</w:t>
            </w:r>
          </w:p>
        </w:tc>
        <w:tc>
          <w:tcPr>
            <w:tcW w:w="0" w:type="dxa"/>
            <w:vAlign w:val="bottom"/>
          </w:tcPr>
          <w:p>
            <w:pPr>
              <w:spacing w:after="0"/>
              <w:rPr>
                <w:sz w:val="1"/>
                <w:szCs w:val="1"/>
                <w:color w:val="auto"/>
              </w:rPr>
            </w:pPr>
          </w:p>
        </w:tc>
      </w:tr>
      <w:tr>
        <w:trPr>
          <w:trHeight w:val="154"/>
        </w:trPr>
        <w:tc>
          <w:tcPr>
            <w:tcW w:w="1800" w:type="dxa"/>
            <w:vAlign w:val="bottom"/>
          </w:tcPr>
          <w:p>
            <w:pPr>
              <w:ind w:left="180"/>
              <w:spacing w:after="0"/>
              <w:rPr>
                <w:sz w:val="20"/>
                <w:szCs w:val="20"/>
                <w:color w:val="auto"/>
              </w:rPr>
            </w:pPr>
            <w:r>
              <w:rPr>
                <w:rFonts w:ascii="Arial" w:cs="Arial" w:eastAsia="Arial" w:hAnsi="Arial"/>
                <w:sz w:val="12"/>
                <w:szCs w:val="12"/>
                <w:color w:val="auto"/>
              </w:rPr>
              <w:t>director compensation</w:t>
            </w: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800" w:type="dxa"/>
            <w:vAlign w:val="bottom"/>
            <w:shd w:val="clear" w:color="auto" w:fill="F3F3F3"/>
          </w:tcPr>
          <w:p>
            <w:pPr>
              <w:ind w:left="100"/>
              <w:spacing w:after="0"/>
              <w:rPr>
                <w:sz w:val="20"/>
                <w:szCs w:val="20"/>
                <w:color w:val="auto"/>
              </w:rPr>
            </w:pPr>
            <w:r>
              <w:rPr>
                <w:rFonts w:ascii="Arial" w:cs="Arial" w:eastAsia="Arial" w:hAnsi="Arial"/>
                <w:sz w:val="12"/>
                <w:szCs w:val="12"/>
                <w:color w:val="auto"/>
              </w:rPr>
              <w:t>Other comprehensive income</w:t>
            </w:r>
          </w:p>
        </w:tc>
        <w:tc>
          <w:tcPr>
            <w:tcW w:w="122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5"/>
                <w:szCs w:val="15"/>
                <w:color w:val="auto"/>
              </w:rPr>
            </w:pPr>
          </w:p>
        </w:tc>
        <w:tc>
          <w:tcPr>
            <w:tcW w:w="74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5"/>
                <w:szCs w:val="15"/>
                <w:color w:val="auto"/>
              </w:rPr>
            </w:pPr>
          </w:p>
        </w:tc>
        <w:tc>
          <w:tcPr>
            <w:tcW w:w="820" w:type="dxa"/>
            <w:vAlign w:val="bottom"/>
            <w:gridSpan w:val="2"/>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F3F3F3"/>
          </w:tcPr>
          <w:p>
            <w:pPr>
              <w:spacing w:after="0"/>
              <w:rPr>
                <w:sz w:val="15"/>
                <w:szCs w:val="15"/>
                <w:color w:val="auto"/>
              </w:rPr>
            </w:pPr>
          </w:p>
        </w:tc>
        <w:tc>
          <w:tcPr>
            <w:tcW w:w="740" w:type="dxa"/>
            <w:vAlign w:val="bottom"/>
            <w:gridSpan w:val="2"/>
            <w:shd w:val="clear" w:color="auto" w:fill="F3F3F3"/>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5"/>
                <w:szCs w:val="15"/>
                <w:color w:val="auto"/>
              </w:rPr>
            </w:pPr>
          </w:p>
        </w:tc>
        <w:tc>
          <w:tcPr>
            <w:tcW w:w="76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5"/>
                <w:szCs w:val="15"/>
                <w:color w:val="auto"/>
              </w:rPr>
            </w:pPr>
          </w:p>
        </w:tc>
        <w:tc>
          <w:tcPr>
            <w:tcW w:w="1060" w:type="dxa"/>
            <w:vAlign w:val="bottom"/>
            <w:shd w:val="clear" w:color="auto" w:fill="F3F3F3"/>
          </w:tcPr>
          <w:p>
            <w:pPr>
              <w:jc w:val="right"/>
              <w:ind w:right="2"/>
              <w:spacing w:after="0"/>
              <w:rPr>
                <w:sz w:val="20"/>
                <w:szCs w:val="20"/>
                <w:color w:val="auto"/>
              </w:rPr>
            </w:pPr>
            <w:r>
              <w:rPr>
                <w:rFonts w:ascii="Arial" w:cs="Arial" w:eastAsia="Arial" w:hAnsi="Arial"/>
                <w:sz w:val="12"/>
                <w:szCs w:val="12"/>
                <w:color w:val="auto"/>
              </w:rPr>
              <w:t>1,136</w:t>
            </w:r>
          </w:p>
        </w:tc>
        <w:tc>
          <w:tcPr>
            <w:tcW w:w="100" w:type="dxa"/>
            <w:vAlign w:val="bottom"/>
            <w:shd w:val="clear" w:color="auto" w:fill="F3F3F3"/>
          </w:tcPr>
          <w:p>
            <w:pPr>
              <w:spacing w:after="0"/>
              <w:rPr>
                <w:sz w:val="15"/>
                <w:szCs w:val="15"/>
                <w:color w:val="auto"/>
              </w:rPr>
            </w:pPr>
          </w:p>
        </w:tc>
        <w:tc>
          <w:tcPr>
            <w:tcW w:w="100" w:type="dxa"/>
            <w:vAlign w:val="bottom"/>
            <w:shd w:val="clear" w:color="auto" w:fill="F3F3F3"/>
          </w:tcPr>
          <w:p>
            <w:pPr>
              <w:spacing w:after="0"/>
              <w:rPr>
                <w:sz w:val="15"/>
                <w:szCs w:val="15"/>
                <w:color w:val="auto"/>
              </w:rPr>
            </w:pPr>
          </w:p>
        </w:tc>
        <w:tc>
          <w:tcPr>
            <w:tcW w:w="960" w:type="dxa"/>
            <w:vAlign w:val="bottom"/>
            <w:shd w:val="clear" w:color="auto" w:fill="F3F3F3"/>
          </w:tcPr>
          <w:p>
            <w:pPr>
              <w:jc w:val="right"/>
              <w:ind w:right="2"/>
              <w:spacing w:after="0"/>
              <w:rPr>
                <w:sz w:val="20"/>
                <w:szCs w:val="20"/>
                <w:color w:val="auto"/>
              </w:rPr>
            </w:pPr>
            <w:r>
              <w:rPr>
                <w:rFonts w:ascii="Arial" w:cs="Arial" w:eastAsia="Arial" w:hAnsi="Arial"/>
                <w:sz w:val="12"/>
                <w:szCs w:val="12"/>
                <w:color w:val="auto"/>
              </w:rPr>
              <w:t>1,136</w:t>
            </w:r>
          </w:p>
        </w:tc>
        <w:tc>
          <w:tcPr>
            <w:tcW w:w="100" w:type="dxa"/>
            <w:vAlign w:val="bottom"/>
            <w:shd w:val="clear" w:color="auto" w:fill="F3F3F3"/>
          </w:tcPr>
          <w:p>
            <w:pPr>
              <w:spacing w:after="0"/>
              <w:rPr>
                <w:sz w:val="15"/>
                <w:szCs w:val="15"/>
                <w:color w:val="auto"/>
              </w:rPr>
            </w:pPr>
          </w:p>
        </w:tc>
        <w:tc>
          <w:tcPr>
            <w:tcW w:w="100" w:type="dxa"/>
            <w:vAlign w:val="bottom"/>
            <w:shd w:val="clear" w:color="auto" w:fill="F3F3F3"/>
          </w:tcPr>
          <w:p>
            <w:pPr>
              <w:spacing w:after="0"/>
              <w:rPr>
                <w:sz w:val="15"/>
                <w:szCs w:val="15"/>
                <w:color w:val="auto"/>
              </w:rPr>
            </w:pPr>
          </w:p>
        </w:tc>
        <w:tc>
          <w:tcPr>
            <w:tcW w:w="1120" w:type="dxa"/>
            <w:vAlign w:val="bottom"/>
            <w:gridSpan w:val="2"/>
            <w:shd w:val="clear" w:color="auto" w:fill="F3F3F3"/>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F3F3F3"/>
          </w:tcPr>
          <w:p>
            <w:pPr>
              <w:spacing w:after="0"/>
              <w:rPr>
                <w:sz w:val="15"/>
                <w:szCs w:val="15"/>
                <w:color w:val="auto"/>
              </w:rPr>
            </w:pPr>
          </w:p>
        </w:tc>
        <w:tc>
          <w:tcPr>
            <w:tcW w:w="960" w:type="dxa"/>
            <w:vAlign w:val="bottom"/>
            <w:shd w:val="clear" w:color="auto" w:fill="F3F3F3"/>
          </w:tcPr>
          <w:p>
            <w:pPr>
              <w:jc w:val="right"/>
              <w:ind w:right="2"/>
              <w:spacing w:after="0"/>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69"/>
        </w:trPr>
        <w:tc>
          <w:tcPr>
            <w:tcW w:w="1800" w:type="dxa"/>
            <w:vAlign w:val="bottom"/>
          </w:tcPr>
          <w:p>
            <w:pPr>
              <w:ind w:left="100"/>
              <w:spacing w:after="0"/>
              <w:rPr>
                <w:sz w:val="20"/>
                <w:szCs w:val="20"/>
                <w:color w:val="auto"/>
              </w:rPr>
            </w:pPr>
            <w:r>
              <w:rPr>
                <w:rFonts w:ascii="Arial" w:cs="Arial" w:eastAsia="Arial" w:hAnsi="Arial"/>
                <w:sz w:val="12"/>
                <w:szCs w:val="12"/>
                <w:color w:val="auto"/>
              </w:rPr>
              <w:t>Fund capital contributions, net</w:t>
            </w:r>
          </w:p>
        </w:tc>
        <w:tc>
          <w:tcPr>
            <w:tcW w:w="12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020" w:type="dxa"/>
            <w:vAlign w:val="bottom"/>
          </w:tcPr>
          <w:p>
            <w:pPr>
              <w:jc w:val="right"/>
              <w:ind w:right="2"/>
              <w:spacing w:after="0"/>
              <w:rPr>
                <w:sz w:val="20"/>
                <w:szCs w:val="20"/>
                <w:color w:val="auto"/>
              </w:rPr>
            </w:pPr>
            <w:r>
              <w:rPr>
                <w:rFonts w:ascii="Arial" w:cs="Arial" w:eastAsia="Arial" w:hAnsi="Arial"/>
                <w:sz w:val="12"/>
                <w:szCs w:val="12"/>
                <w:color w:val="auto"/>
              </w:rPr>
              <w:t>4,841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
              <w:spacing w:after="0"/>
              <w:rPr>
                <w:sz w:val="20"/>
                <w:szCs w:val="20"/>
                <w:color w:val="auto"/>
              </w:rPr>
            </w:pPr>
            <w:r>
              <w:rPr>
                <w:rFonts w:ascii="Arial" w:cs="Arial" w:eastAsia="Arial" w:hAnsi="Arial"/>
                <w:sz w:val="12"/>
                <w:szCs w:val="12"/>
                <w:color w:val="auto"/>
              </w:rPr>
              <w:t>4,841</w:t>
            </w:r>
          </w:p>
        </w:tc>
        <w:tc>
          <w:tcPr>
            <w:tcW w:w="0" w:type="dxa"/>
            <w:vAlign w:val="bottom"/>
          </w:tcPr>
          <w:p>
            <w:pPr>
              <w:spacing w:after="0"/>
              <w:rPr>
                <w:sz w:val="1"/>
                <w:szCs w:val="1"/>
                <w:color w:val="auto"/>
              </w:rPr>
            </w:pPr>
          </w:p>
        </w:tc>
      </w:tr>
      <w:tr>
        <w:trPr>
          <w:trHeight w:val="200"/>
        </w:trPr>
        <w:tc>
          <w:tcPr>
            <w:tcW w:w="1800" w:type="dxa"/>
            <w:vAlign w:val="bottom"/>
            <w:tcBorders>
              <w:top w:val="single" w:sz="8" w:color="F3F3F3"/>
              <w:bottom w:val="single" w:sz="8" w:color="F3F3F3"/>
            </w:tcBorders>
            <w:shd w:val="clear" w:color="auto" w:fill="F3F3F3"/>
          </w:tcPr>
          <w:p>
            <w:pPr>
              <w:ind w:left="20"/>
              <w:spacing w:after="0"/>
              <w:rPr>
                <w:sz w:val="20"/>
                <w:szCs w:val="20"/>
                <w:color w:val="auto"/>
              </w:rPr>
            </w:pPr>
            <w:r>
              <w:rPr>
                <w:rFonts w:ascii="Arial" w:cs="Arial" w:eastAsia="Arial" w:hAnsi="Arial"/>
                <w:sz w:val="12"/>
                <w:szCs w:val="12"/>
                <w:b w:val="1"/>
                <w:bCs w:val="1"/>
                <w:color w:val="auto"/>
              </w:rPr>
              <w:t>Balance at March 31, 2025</w:t>
            </w:r>
          </w:p>
        </w:tc>
        <w:tc>
          <w:tcPr>
            <w:tcW w:w="1120" w:type="dxa"/>
            <w:vAlign w:val="bottom"/>
            <w:tcBorders>
              <w:top w:val="single" w:sz="8" w:color="auto"/>
              <w:bottom w:val="single" w:sz="8" w:color="auto"/>
            </w:tcBorders>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66,064,120</w:t>
            </w:r>
          </w:p>
        </w:tc>
        <w:tc>
          <w:tcPr>
            <w:tcW w:w="100" w:type="dxa"/>
            <w:vAlign w:val="bottom"/>
            <w:tcBorders>
              <w:top w:val="single" w:sz="8" w:color="F3F3F3"/>
              <w:bottom w:val="single" w:sz="8" w:color="F3F3F3"/>
            </w:tcBorders>
            <w:shd w:val="clear" w:color="auto" w:fill="F3F3F3"/>
          </w:tcPr>
          <w:p>
            <w:pPr>
              <w:spacing w:after="0"/>
              <w:rPr>
                <w:sz w:val="17"/>
                <w:szCs w:val="17"/>
                <w:color w:val="auto"/>
              </w:rPr>
            </w:pPr>
          </w:p>
        </w:tc>
        <w:tc>
          <w:tcPr>
            <w:tcW w:w="10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top w:val="single" w:sz="8" w:color="auto"/>
              <w:bottom w:val="single" w:sz="8" w:color="auto"/>
            </w:tcBorders>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779</w:t>
            </w:r>
          </w:p>
        </w:tc>
        <w:tc>
          <w:tcPr>
            <w:tcW w:w="100" w:type="dxa"/>
            <w:vAlign w:val="bottom"/>
            <w:tcBorders>
              <w:top w:val="single" w:sz="8" w:color="F3F3F3"/>
              <w:bottom w:val="single" w:sz="8" w:color="F3F3F3"/>
            </w:tcBorders>
            <w:shd w:val="clear" w:color="auto" w:fill="F3F3F3"/>
          </w:tcPr>
          <w:p>
            <w:pPr>
              <w:spacing w:after="0"/>
              <w:rPr>
                <w:sz w:val="17"/>
                <w:szCs w:val="17"/>
                <w:color w:val="auto"/>
              </w:rPr>
            </w:pPr>
          </w:p>
        </w:tc>
        <w:tc>
          <w:tcPr>
            <w:tcW w:w="10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top w:val="single" w:sz="8" w:color="auto"/>
              <w:bottom w:val="single" w:sz="8" w:color="auto"/>
            </w:tcBorders>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987,048</w:t>
            </w:r>
          </w:p>
        </w:tc>
        <w:tc>
          <w:tcPr>
            <w:tcW w:w="80" w:type="dxa"/>
            <w:vAlign w:val="bottom"/>
            <w:tcBorders>
              <w:top w:val="single" w:sz="8" w:color="F3F3F3"/>
              <w:bottom w:val="single" w:sz="8" w:color="F3F3F3"/>
            </w:tcBorders>
            <w:shd w:val="clear" w:color="auto" w:fill="F3F3F3"/>
          </w:tcPr>
          <w:p>
            <w:pPr>
              <w:spacing w:after="0"/>
              <w:rPr>
                <w:sz w:val="17"/>
                <w:szCs w:val="17"/>
                <w:color w:val="auto"/>
              </w:rPr>
            </w:pPr>
          </w:p>
        </w:tc>
        <w:tc>
          <w:tcPr>
            <w:tcW w:w="10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rPr>
              <w:t>556,400</w:t>
            </w:r>
          </w:p>
        </w:tc>
        <w:tc>
          <w:tcPr>
            <w:tcW w:w="100" w:type="dxa"/>
            <w:vAlign w:val="bottom"/>
            <w:tcBorders>
              <w:top w:val="single" w:sz="8" w:color="F3F3F3"/>
              <w:bottom w:val="single" w:sz="8" w:color="F3F3F3"/>
            </w:tcBorders>
            <w:shd w:val="clear" w:color="auto" w:fill="F3F3F3"/>
          </w:tcPr>
          <w:p>
            <w:pPr>
              <w:spacing w:after="0"/>
              <w:rPr>
                <w:sz w:val="17"/>
                <w:szCs w:val="17"/>
                <w:color w:val="auto"/>
              </w:rPr>
            </w:pPr>
          </w:p>
        </w:tc>
        <w:tc>
          <w:tcPr>
            <w:tcW w:w="12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rPr>
              <w:t>(330,711)</w:t>
            </w:r>
          </w:p>
        </w:tc>
        <w:tc>
          <w:tcPr>
            <w:tcW w:w="100" w:type="dxa"/>
            <w:vAlign w:val="bottom"/>
            <w:tcBorders>
              <w:top w:val="single" w:sz="8" w:color="F3F3F3"/>
              <w:bottom w:val="single" w:sz="8" w:color="F3F3F3"/>
            </w:tcBorders>
            <w:shd w:val="clear" w:color="auto" w:fill="F3F3F3"/>
          </w:tcPr>
          <w:p>
            <w:pPr>
              <w:spacing w:after="0"/>
              <w:rPr>
                <w:sz w:val="17"/>
                <w:szCs w:val="17"/>
                <w:color w:val="auto"/>
              </w:rPr>
            </w:pPr>
          </w:p>
        </w:tc>
        <w:tc>
          <w:tcPr>
            <w:tcW w:w="12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106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rPr>
              <w:t>(43)</w:t>
            </w:r>
          </w:p>
        </w:tc>
        <w:tc>
          <w:tcPr>
            <w:tcW w:w="100" w:type="dxa"/>
            <w:vAlign w:val="bottom"/>
            <w:tcBorders>
              <w:top w:val="single" w:sz="8" w:color="F3F3F3"/>
              <w:bottom w:val="single" w:sz="8" w:color="F3F3F3"/>
            </w:tcBorders>
            <w:shd w:val="clear" w:color="auto" w:fill="F3F3F3"/>
          </w:tcPr>
          <w:p>
            <w:pPr>
              <w:spacing w:after="0"/>
              <w:rPr>
                <w:sz w:val="17"/>
                <w:szCs w:val="17"/>
                <w:color w:val="auto"/>
              </w:rPr>
            </w:pPr>
          </w:p>
        </w:tc>
        <w:tc>
          <w:tcPr>
            <w:tcW w:w="10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960" w:type="dxa"/>
            <w:vAlign w:val="bottom"/>
            <w:tcBorders>
              <w:top w:val="single" w:sz="8" w:color="auto"/>
              <w:bottom w:val="single" w:sz="8" w:color="auto"/>
            </w:tcBorders>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1,213,473</w:t>
            </w:r>
          </w:p>
        </w:tc>
        <w:tc>
          <w:tcPr>
            <w:tcW w:w="100" w:type="dxa"/>
            <w:vAlign w:val="bottom"/>
            <w:tcBorders>
              <w:top w:val="single" w:sz="8" w:color="F3F3F3"/>
              <w:bottom w:val="single" w:sz="8" w:color="F3F3F3"/>
            </w:tcBorders>
            <w:shd w:val="clear" w:color="auto" w:fill="F3F3F3"/>
          </w:tcPr>
          <w:p>
            <w:pPr>
              <w:spacing w:after="0"/>
              <w:rPr>
                <w:sz w:val="17"/>
                <w:szCs w:val="17"/>
                <w:color w:val="auto"/>
              </w:rPr>
            </w:pPr>
          </w:p>
        </w:tc>
        <w:tc>
          <w:tcPr>
            <w:tcW w:w="10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1020" w:type="dxa"/>
            <w:vAlign w:val="bottom"/>
            <w:tcBorders>
              <w:top w:val="single" w:sz="8" w:color="auto"/>
              <w:bottom w:val="single" w:sz="8" w:color="auto"/>
            </w:tcBorders>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164,637</w:t>
            </w:r>
          </w:p>
        </w:tc>
        <w:tc>
          <w:tcPr>
            <w:tcW w:w="100" w:type="dxa"/>
            <w:vAlign w:val="bottom"/>
            <w:tcBorders>
              <w:top w:val="single" w:sz="8" w:color="F3F3F3"/>
              <w:bottom w:val="single" w:sz="8" w:color="F3F3F3"/>
            </w:tcBorders>
            <w:shd w:val="clear" w:color="auto" w:fill="F3F3F3"/>
          </w:tcPr>
          <w:p>
            <w:pPr>
              <w:spacing w:after="0"/>
              <w:rPr>
                <w:sz w:val="17"/>
                <w:szCs w:val="17"/>
                <w:color w:val="auto"/>
              </w:rPr>
            </w:pPr>
          </w:p>
        </w:tc>
        <w:tc>
          <w:tcPr>
            <w:tcW w:w="12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2"/>
                <w:szCs w:val="12"/>
                <w:b w:val="1"/>
                <w:bCs w:val="1"/>
                <w:color w:val="auto"/>
                <w:w w:val="89"/>
              </w:rPr>
              <w:t>$</w:t>
            </w:r>
          </w:p>
        </w:tc>
        <w:tc>
          <w:tcPr>
            <w:tcW w:w="960" w:type="dxa"/>
            <w:vAlign w:val="bottom"/>
            <w:tcBorders>
              <w:top w:val="single" w:sz="8" w:color="auto"/>
              <w:bottom w:val="single" w:sz="8" w:color="auto"/>
            </w:tcBorders>
            <w:shd w:val="clear" w:color="auto" w:fill="F3F3F3"/>
          </w:tcPr>
          <w:p>
            <w:pPr>
              <w:jc w:val="right"/>
              <w:ind w:right="2"/>
              <w:spacing w:after="0"/>
              <w:rPr>
                <w:sz w:val="20"/>
                <w:szCs w:val="20"/>
                <w:color w:val="auto"/>
              </w:rPr>
            </w:pPr>
            <w:r>
              <w:rPr>
                <w:rFonts w:ascii="Arial" w:cs="Arial" w:eastAsia="Arial" w:hAnsi="Arial"/>
                <w:sz w:val="12"/>
                <w:szCs w:val="12"/>
                <w:b w:val="1"/>
                <w:bCs w:val="1"/>
                <w:color w:val="auto"/>
              </w:rPr>
              <w:t>1,378,110</w:t>
            </w:r>
          </w:p>
        </w:tc>
        <w:tc>
          <w:tcPr>
            <w:tcW w:w="0" w:type="dxa"/>
            <w:vAlign w:val="bottom"/>
          </w:tcPr>
          <w:p>
            <w:pPr>
              <w:spacing w:after="0"/>
              <w:rPr>
                <w:sz w:val="1"/>
                <w:szCs w:val="1"/>
                <w:color w:val="auto"/>
              </w:rPr>
            </w:pPr>
          </w:p>
        </w:tc>
      </w:tr>
      <w:tr>
        <w:trPr>
          <w:trHeight w:val="20"/>
        </w:trPr>
        <w:tc>
          <w:tcPr>
            <w:tcW w:w="1800" w:type="dxa"/>
            <w:vAlign w:val="bottom"/>
            <w:tcBorders>
              <w:top w:val="single" w:sz="8" w:color="F3F3F3"/>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00" w:type="dxa"/>
            <w:vAlign w:val="bottom"/>
            <w:tcBorders>
              <w:top w:val="single" w:sz="8" w:color="F3F3F3"/>
              <w:bottom w:val="single" w:sz="8" w:color="auto"/>
            </w:tcBorders>
          </w:tcPr>
          <w:p>
            <w:pPr>
              <w:spacing w:after="0" w:line="20" w:lineRule="exact"/>
              <w:rPr>
                <w:sz w:val="1"/>
                <w:szCs w:val="1"/>
                <w:color w:val="auto"/>
              </w:rPr>
            </w:pPr>
          </w:p>
        </w:tc>
        <w:tc>
          <w:tcPr>
            <w:tcW w:w="6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00" w:type="dxa"/>
            <w:vAlign w:val="bottom"/>
            <w:tcBorders>
              <w:top w:val="single" w:sz="8" w:color="F3F3F3"/>
              <w:bottom w:val="single" w:sz="8" w:color="auto"/>
            </w:tcBorders>
          </w:tcPr>
          <w:p>
            <w:pPr>
              <w:spacing w:after="0" w:line="20" w:lineRule="exact"/>
              <w:rPr>
                <w:sz w:val="1"/>
                <w:szCs w:val="1"/>
                <w:color w:val="auto"/>
              </w:rPr>
            </w:pPr>
          </w:p>
        </w:tc>
        <w:tc>
          <w:tcPr>
            <w:tcW w:w="740" w:type="dxa"/>
            <w:vAlign w:val="bottom"/>
            <w:tcBorders>
              <w:top w:val="single" w:sz="8" w:color="F3F3F3"/>
              <w:bottom w:val="single" w:sz="8" w:color="auto"/>
            </w:tcBorders>
          </w:tcPr>
          <w:p>
            <w:pPr>
              <w:spacing w:after="0" w:line="20" w:lineRule="exact"/>
              <w:rPr>
                <w:sz w:val="1"/>
                <w:szCs w:val="1"/>
                <w:color w:val="auto"/>
              </w:rPr>
            </w:pPr>
          </w:p>
        </w:tc>
        <w:tc>
          <w:tcPr>
            <w:tcW w:w="80" w:type="dxa"/>
            <w:vAlign w:val="bottom"/>
            <w:tcBorders>
              <w:top w:val="single" w:sz="8" w:color="F3F3F3"/>
            </w:tcBorders>
          </w:tcPr>
          <w:p>
            <w:pPr>
              <w:spacing w:after="0" w:line="20" w:lineRule="exact"/>
              <w:rPr>
                <w:sz w:val="1"/>
                <w:szCs w:val="1"/>
                <w:color w:val="auto"/>
              </w:rPr>
            </w:pPr>
          </w:p>
        </w:tc>
        <w:tc>
          <w:tcPr>
            <w:tcW w:w="100" w:type="dxa"/>
            <w:vAlign w:val="bottom"/>
            <w:tcBorders>
              <w:top w:val="single" w:sz="8" w:color="F3F3F3"/>
              <w:bottom w:val="single" w:sz="8" w:color="auto"/>
            </w:tcBorders>
          </w:tcPr>
          <w:p>
            <w:pPr>
              <w:spacing w:after="0" w:line="20" w:lineRule="exact"/>
              <w:rPr>
                <w:sz w:val="1"/>
                <w:szCs w:val="1"/>
                <w:color w:val="auto"/>
              </w:rPr>
            </w:pPr>
          </w:p>
        </w:tc>
        <w:tc>
          <w:tcPr>
            <w:tcW w:w="6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20" w:type="dxa"/>
            <w:vAlign w:val="bottom"/>
            <w:tcBorders>
              <w:top w:val="single" w:sz="8" w:color="F3F3F3"/>
              <w:bottom w:val="single" w:sz="8" w:color="auto"/>
            </w:tcBorders>
          </w:tcPr>
          <w:p>
            <w:pPr>
              <w:spacing w:after="0" w:line="20" w:lineRule="exact"/>
              <w:rPr>
                <w:sz w:val="1"/>
                <w:szCs w:val="1"/>
                <w:color w:val="auto"/>
              </w:rPr>
            </w:pPr>
          </w:p>
        </w:tc>
        <w:tc>
          <w:tcPr>
            <w:tcW w:w="66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20" w:type="dxa"/>
            <w:vAlign w:val="bottom"/>
            <w:tcBorders>
              <w:top w:val="single" w:sz="8" w:color="F3F3F3"/>
              <w:bottom w:val="single" w:sz="8" w:color="auto"/>
            </w:tcBorders>
          </w:tcPr>
          <w:p>
            <w:pPr>
              <w:spacing w:after="0" w:line="20" w:lineRule="exact"/>
              <w:rPr>
                <w:sz w:val="1"/>
                <w:szCs w:val="1"/>
                <w:color w:val="auto"/>
              </w:rPr>
            </w:pPr>
          </w:p>
        </w:tc>
        <w:tc>
          <w:tcPr>
            <w:tcW w:w="106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00" w:type="dxa"/>
            <w:vAlign w:val="bottom"/>
            <w:tcBorders>
              <w:top w:val="single" w:sz="8" w:color="F3F3F3"/>
              <w:bottom w:val="single" w:sz="8" w:color="auto"/>
            </w:tcBorders>
          </w:tcPr>
          <w:p>
            <w:pPr>
              <w:spacing w:after="0" w:line="20" w:lineRule="exact"/>
              <w:rPr>
                <w:sz w:val="1"/>
                <w:szCs w:val="1"/>
                <w:color w:val="auto"/>
              </w:rPr>
            </w:pPr>
          </w:p>
        </w:tc>
        <w:tc>
          <w:tcPr>
            <w:tcW w:w="96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00" w:type="dxa"/>
            <w:vAlign w:val="bottom"/>
            <w:tcBorders>
              <w:top w:val="single" w:sz="8" w:color="F3F3F3"/>
              <w:bottom w:val="single" w:sz="8" w:color="auto"/>
            </w:tcBorders>
          </w:tcPr>
          <w:p>
            <w:pPr>
              <w:spacing w:after="0" w:line="20" w:lineRule="exact"/>
              <w:rPr>
                <w:sz w:val="1"/>
                <w:szCs w:val="1"/>
                <w:color w:val="auto"/>
              </w:rPr>
            </w:pPr>
          </w:p>
        </w:tc>
        <w:tc>
          <w:tcPr>
            <w:tcW w:w="102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20" w:type="dxa"/>
            <w:vAlign w:val="bottom"/>
            <w:tcBorders>
              <w:top w:val="single" w:sz="8" w:color="F3F3F3"/>
              <w:bottom w:val="single" w:sz="8" w:color="auto"/>
            </w:tcBorders>
          </w:tcPr>
          <w:p>
            <w:pPr>
              <w:spacing w:after="0" w:line="20" w:lineRule="exact"/>
              <w:rPr>
                <w:sz w:val="1"/>
                <w:szCs w:val="1"/>
                <w:color w:val="auto"/>
              </w:rPr>
            </w:pPr>
          </w:p>
        </w:tc>
        <w:tc>
          <w:tcPr>
            <w:tcW w:w="960" w:type="dxa"/>
            <w:vAlign w:val="bottom"/>
            <w:tcBorders>
              <w:top w:val="single" w:sz="8" w:color="F3F3F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Common shares information and additional paid-in capital have been adjusted to reflect the four-for-one forward split of common stock, as discussed in Note 1.</w:t>
      </w:r>
    </w:p>
    <w:p>
      <w:pPr>
        <w:spacing w:after="0" w:line="7" w:lineRule="exact"/>
        <w:rPr>
          <w:rFonts w:ascii="Arial" w:cs="Arial" w:eastAsia="Arial" w:hAnsi="Arial"/>
          <w:sz w:val="12"/>
          <w:szCs w:val="12"/>
          <w:i w:val="1"/>
          <w:iCs w:val="1"/>
          <w:color w:val="auto"/>
        </w:rPr>
      </w:pPr>
    </w:p>
    <w:p>
      <w:pPr>
        <w:ind w:left="320" w:hanging="312"/>
        <w:spacing w:after="0"/>
        <w:tabs>
          <w:tab w:leader="none" w:pos="3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Includes amortization of restricted stock issued in conjunction with the Company's acquisitions.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the Consolidated Financial Statements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 (Unaudited)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r>
      <w:tr>
        <w:trPr>
          <w:trHeight w:val="236"/>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5"/>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r>
      <w:tr>
        <w:trPr>
          <w:trHeight w:val="20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Operating Activities</w:t>
            </w:r>
          </w:p>
        </w:tc>
        <w:tc>
          <w:tcPr>
            <w:tcW w:w="360" w:type="dxa"/>
            <w:vAlign w:val="bottom"/>
            <w:shd w:val="clear" w:color="auto" w:fill="F3F3F3"/>
          </w:tcPr>
          <w:p>
            <w:pPr>
              <w:spacing w:after="0"/>
              <w:rPr>
                <w:sz w:val="18"/>
                <w:szCs w:val="18"/>
                <w:color w:val="auto"/>
              </w:rPr>
            </w:pPr>
          </w:p>
        </w:tc>
        <w:tc>
          <w:tcPr>
            <w:tcW w:w="12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c>
          <w:tcPr>
            <w:tcW w:w="1120" w:type="dxa"/>
            <w:vAlign w:val="bottom"/>
            <w:shd w:val="clear" w:color="auto" w:fill="F3F3F3"/>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68,312</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36,768</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Adjustments to reconcile net income to net cash used in operating activities: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7"/>
                <w:szCs w:val="17"/>
                <w:color w:val="auto"/>
              </w:rPr>
              <w:t>Depreciation and amortization of fixed assets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4,734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4,213</w:t>
            </w:r>
          </w:p>
        </w:tc>
      </w:tr>
      <w:tr>
        <w:trPr>
          <w:trHeight w:val="230"/>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Deferred income taxes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17,932</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32,272</w:t>
            </w:r>
          </w:p>
        </w:tc>
      </w:tr>
      <w:tr>
        <w:trPr>
          <w:trHeight w:val="229"/>
        </w:trPr>
        <w:tc>
          <w:tcPr>
            <w:tcW w:w="7940" w:type="dxa"/>
            <w:vAlign w:val="bottom"/>
          </w:tcPr>
          <w:p>
            <w:pPr>
              <w:ind w:left="240"/>
              <w:spacing w:after="0"/>
              <w:rPr>
                <w:sz w:val="20"/>
                <w:szCs w:val="20"/>
                <w:color w:val="auto"/>
              </w:rPr>
            </w:pPr>
            <w:r>
              <w:rPr>
                <w:rFonts w:ascii="Arial" w:cs="Arial" w:eastAsia="Arial" w:hAnsi="Arial"/>
                <w:sz w:val="17"/>
                <w:szCs w:val="17"/>
                <w:color w:val="auto"/>
              </w:rPr>
              <w:t>Stock-based compensation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28,020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31,161</w:t>
            </w:r>
          </w:p>
        </w:tc>
      </w:tr>
      <w:tr>
        <w:trPr>
          <w:trHeight w:val="230"/>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Amortization of intangible assets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2,057</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2,076</w:t>
            </w:r>
          </w:p>
        </w:tc>
      </w:tr>
      <w:tr>
        <w:trPr>
          <w:trHeight w:val="229"/>
        </w:trPr>
        <w:tc>
          <w:tcPr>
            <w:tcW w:w="7940" w:type="dxa"/>
            <w:vAlign w:val="bottom"/>
          </w:tcPr>
          <w:p>
            <w:pPr>
              <w:ind w:left="240"/>
              <w:spacing w:after="0"/>
              <w:rPr>
                <w:sz w:val="20"/>
                <w:szCs w:val="20"/>
                <w:color w:val="auto"/>
              </w:rPr>
            </w:pPr>
            <w:r>
              <w:rPr>
                <w:rFonts w:ascii="Arial" w:cs="Arial" w:eastAsia="Arial" w:hAnsi="Arial"/>
                <w:sz w:val="17"/>
                <w:szCs w:val="17"/>
                <w:color w:val="auto"/>
              </w:rPr>
              <w:t>Amortization of forgivable loans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7,339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5,020</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Decrease/(increase) in operating assets: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7"/>
                <w:szCs w:val="17"/>
                <w:color w:val="auto"/>
              </w:rPr>
              <w:t>Receivables from brokers, dealers and clearing organizations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(57,585)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141,838</w:t>
            </w:r>
          </w:p>
        </w:tc>
      </w:tr>
      <w:tr>
        <w:trPr>
          <w:trHeight w:val="229"/>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Net financial instruments and other inventory positions owned</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11,573</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(39,323)</w:t>
            </w:r>
          </w:p>
        </w:tc>
      </w:tr>
      <w:tr>
        <w:trPr>
          <w:trHeight w:val="230"/>
        </w:trPr>
        <w:tc>
          <w:tcPr>
            <w:tcW w:w="7940" w:type="dxa"/>
            <w:vAlign w:val="bottom"/>
          </w:tcPr>
          <w:p>
            <w:pPr>
              <w:ind w:left="240"/>
              <w:spacing w:after="0"/>
              <w:rPr>
                <w:sz w:val="20"/>
                <w:szCs w:val="20"/>
                <w:color w:val="auto"/>
              </w:rPr>
            </w:pPr>
            <w:r>
              <w:rPr>
                <w:rFonts w:ascii="Arial" w:cs="Arial" w:eastAsia="Arial" w:hAnsi="Arial"/>
                <w:sz w:val="17"/>
                <w:szCs w:val="17"/>
                <w:color w:val="auto"/>
              </w:rPr>
              <w:t>Investments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11,436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20,354</w:t>
            </w:r>
          </w:p>
        </w:tc>
      </w:tr>
      <w:tr>
        <w:trPr>
          <w:trHeight w:val="229"/>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Other assets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(2,656)</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(66,321)</w:t>
            </w:r>
          </w:p>
        </w:tc>
      </w:tr>
      <w:tr>
        <w:trPr>
          <w:trHeight w:val="227"/>
        </w:trPr>
        <w:tc>
          <w:tcPr>
            <w:tcW w:w="7940" w:type="dxa"/>
            <w:vAlign w:val="bottom"/>
          </w:tcPr>
          <w:p>
            <w:pPr>
              <w:ind w:left="140"/>
              <w:spacing w:after="0"/>
              <w:rPr>
                <w:sz w:val="20"/>
                <w:szCs w:val="20"/>
                <w:color w:val="auto"/>
              </w:rPr>
            </w:pPr>
            <w:r>
              <w:rPr>
                <w:rFonts w:ascii="Arial" w:cs="Arial" w:eastAsia="Arial" w:hAnsi="Arial"/>
                <w:sz w:val="17"/>
                <w:szCs w:val="17"/>
                <w:color w:val="auto"/>
              </w:rPr>
              <w:t>Increase/(decrease) in operating liabilities: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2"/>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Payables to brokers, dealers and clearing organizations</w:t>
            </w:r>
          </w:p>
        </w:tc>
        <w:tc>
          <w:tcPr>
            <w:tcW w:w="360" w:type="dxa"/>
            <w:vAlign w:val="bottom"/>
            <w:shd w:val="clear" w:color="auto" w:fill="F3F3F3"/>
          </w:tcPr>
          <w:p>
            <w:pPr>
              <w:spacing w:after="0"/>
              <w:rPr>
                <w:sz w:val="20"/>
                <w:szCs w:val="20"/>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18,549</w:t>
            </w:r>
          </w:p>
        </w:tc>
        <w:tc>
          <w:tcPr>
            <w:tcW w:w="100" w:type="dxa"/>
            <w:vAlign w:val="bottom"/>
            <w:shd w:val="clear" w:color="auto" w:fill="F3F3F3"/>
          </w:tcPr>
          <w:p>
            <w:pPr>
              <w:spacing w:after="0"/>
              <w:rPr>
                <w:sz w:val="20"/>
                <w:szCs w:val="20"/>
                <w:color w:val="auto"/>
              </w:rPr>
            </w:pPr>
          </w:p>
        </w:tc>
        <w:tc>
          <w:tcPr>
            <w:tcW w:w="480" w:type="dxa"/>
            <w:vAlign w:val="bottom"/>
            <w:shd w:val="clear" w:color="auto" w:fill="F3F3F3"/>
          </w:tcPr>
          <w:p>
            <w:pPr>
              <w:spacing w:after="0"/>
              <w:rPr>
                <w:sz w:val="20"/>
                <w:szCs w:val="20"/>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(5,097)</w:t>
            </w:r>
          </w:p>
        </w:tc>
      </w:tr>
      <w:tr>
        <w:trPr>
          <w:trHeight w:val="229"/>
        </w:trPr>
        <w:tc>
          <w:tcPr>
            <w:tcW w:w="7940" w:type="dxa"/>
            <w:vAlign w:val="bottom"/>
          </w:tcPr>
          <w:p>
            <w:pPr>
              <w:ind w:left="240"/>
              <w:spacing w:after="0"/>
              <w:rPr>
                <w:sz w:val="20"/>
                <w:szCs w:val="20"/>
                <w:color w:val="auto"/>
              </w:rPr>
            </w:pPr>
            <w:r>
              <w:rPr>
                <w:rFonts w:ascii="Arial" w:cs="Arial" w:eastAsia="Arial" w:hAnsi="Arial"/>
                <w:sz w:val="17"/>
                <w:szCs w:val="17"/>
                <w:color w:val="auto"/>
              </w:rPr>
              <w:t>Accrued compensation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(410,069)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(351,504)</w:t>
            </w:r>
          </w:p>
        </w:tc>
      </w:tr>
      <w:tr>
        <w:trPr>
          <w:trHeight w:val="229"/>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Other liabilities and accrued expenses</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8,641</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(18,682)</w:t>
            </w:r>
          </w:p>
        </w:tc>
      </w:tr>
      <w:tr>
        <w:trPr>
          <w:trHeight w:val="223"/>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7"/>
                <w:szCs w:val="17"/>
                <w:b w:val="1"/>
                <w:bCs w:val="1"/>
                <w:color w:val="auto"/>
              </w:rPr>
              <w:t>Net cash used in operating activities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(291,717)</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(207,225)</w:t>
            </w:r>
          </w:p>
        </w:tc>
      </w:tr>
      <w:tr>
        <w:trPr>
          <w:trHeight w:val="196"/>
        </w:trPr>
        <w:tc>
          <w:tcPr>
            <w:tcW w:w="7940" w:type="dxa"/>
            <w:vAlign w:val="bottom"/>
            <w:shd w:val="clear" w:color="auto" w:fill="F3F3F3"/>
          </w:tcPr>
          <w:p>
            <w:pPr>
              <w:spacing w:after="0"/>
              <w:rPr>
                <w:sz w:val="17"/>
                <w:szCs w:val="17"/>
                <w:color w:val="auto"/>
              </w:rPr>
            </w:pPr>
          </w:p>
        </w:tc>
        <w:tc>
          <w:tcPr>
            <w:tcW w:w="360" w:type="dxa"/>
            <w:vAlign w:val="bottom"/>
            <w:shd w:val="clear" w:color="auto" w:fill="F3F3F3"/>
          </w:tcPr>
          <w:p>
            <w:pPr>
              <w:spacing w:after="0"/>
              <w:rPr>
                <w:sz w:val="17"/>
                <w:szCs w:val="17"/>
                <w:color w:val="auto"/>
              </w:rPr>
            </w:pPr>
          </w:p>
        </w:tc>
        <w:tc>
          <w:tcPr>
            <w:tcW w:w="1240" w:type="dxa"/>
            <w:vAlign w:val="bottom"/>
            <w:shd w:val="clear" w:color="auto" w:fill="F3F3F3"/>
          </w:tcPr>
          <w:p>
            <w:pPr>
              <w:spacing w:after="0"/>
              <w:rPr>
                <w:sz w:val="17"/>
                <w:szCs w:val="17"/>
                <w:color w:val="auto"/>
              </w:rPr>
            </w:pPr>
          </w:p>
        </w:tc>
        <w:tc>
          <w:tcPr>
            <w:tcW w:w="100" w:type="dxa"/>
            <w:vAlign w:val="bottom"/>
            <w:shd w:val="clear" w:color="auto" w:fill="F3F3F3"/>
          </w:tcPr>
          <w:p>
            <w:pPr>
              <w:spacing w:after="0"/>
              <w:rPr>
                <w:sz w:val="17"/>
                <w:szCs w:val="17"/>
                <w:color w:val="auto"/>
              </w:rPr>
            </w:pPr>
          </w:p>
        </w:tc>
        <w:tc>
          <w:tcPr>
            <w:tcW w:w="480" w:type="dxa"/>
            <w:vAlign w:val="bottom"/>
            <w:shd w:val="clear" w:color="auto" w:fill="F3F3F3"/>
          </w:tcPr>
          <w:p>
            <w:pPr>
              <w:spacing w:after="0"/>
              <w:rPr>
                <w:sz w:val="17"/>
                <w:szCs w:val="17"/>
                <w:color w:val="auto"/>
              </w:rPr>
            </w:pPr>
          </w:p>
        </w:tc>
        <w:tc>
          <w:tcPr>
            <w:tcW w:w="1120" w:type="dxa"/>
            <w:vAlign w:val="bottom"/>
            <w:shd w:val="clear" w:color="auto" w:fill="F3F3F3"/>
          </w:tcPr>
          <w:p>
            <w:pPr>
              <w:spacing w:after="0"/>
              <w:rPr>
                <w:sz w:val="17"/>
                <w:szCs w:val="17"/>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Investing Activities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Business acquisitions, net of cash acquired</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(1,152)</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Purchases of fixed assets, net</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(2,155)</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(11,148)</w:t>
            </w:r>
          </w:p>
        </w:tc>
      </w:tr>
      <w:tr>
        <w:trPr>
          <w:trHeight w:val="223"/>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Net cash used in investing activities</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(3,307)</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(11,148)</w:t>
            </w:r>
          </w:p>
        </w:tc>
      </w:tr>
      <w:tr>
        <w:trPr>
          <w:trHeight w:val="196"/>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Financing Activities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Net change in short-term financing</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5,000</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Payment of cash dividends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(100,721)</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(70,261)</w:t>
            </w: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Increase in noncontrolling interests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1,167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4,841</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Repurchase of common stock</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(69,889)</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(80,629)</w:t>
            </w:r>
          </w:p>
        </w:tc>
      </w:tr>
      <w:tr>
        <w:trPr>
          <w:trHeight w:val="230"/>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Proceeds from stock option exercises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519</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1,485</w:t>
            </w:r>
          </w:p>
        </w:tc>
      </w:tr>
      <w:tr>
        <w:trPr>
          <w:trHeight w:val="223"/>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Net cash used in financing activities</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(168,924)</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(139,564)</w:t>
            </w:r>
          </w:p>
        </w:tc>
      </w:tr>
      <w:tr>
        <w:trPr>
          <w:trHeight w:val="196"/>
        </w:trPr>
        <w:tc>
          <w:tcPr>
            <w:tcW w:w="7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color w:val="auto"/>
              </w:rPr>
              <w:t>Currency adjustment:</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Effect of exchange rate changes on cash</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(1,033)</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1,185</w:t>
            </w:r>
          </w:p>
        </w:tc>
      </w:tr>
      <w:tr>
        <w:trPr>
          <w:trHeight w:val="196"/>
        </w:trPr>
        <w:tc>
          <w:tcPr>
            <w:tcW w:w="7940" w:type="dxa"/>
            <w:vAlign w:val="bottom"/>
            <w:shd w:val="clear" w:color="auto" w:fill="F3F3F3"/>
          </w:tcPr>
          <w:p>
            <w:pPr>
              <w:spacing w:after="0"/>
              <w:rPr>
                <w:sz w:val="17"/>
                <w:szCs w:val="17"/>
                <w:color w:val="auto"/>
              </w:rPr>
            </w:pPr>
          </w:p>
        </w:tc>
        <w:tc>
          <w:tcPr>
            <w:tcW w:w="360" w:type="dxa"/>
            <w:vAlign w:val="bottom"/>
            <w:shd w:val="clear" w:color="auto" w:fill="F3F3F3"/>
          </w:tcPr>
          <w:p>
            <w:pPr>
              <w:spacing w:after="0"/>
              <w:rPr>
                <w:sz w:val="17"/>
                <w:szCs w:val="17"/>
                <w:color w:val="auto"/>
              </w:rPr>
            </w:pPr>
          </w:p>
        </w:tc>
        <w:tc>
          <w:tcPr>
            <w:tcW w:w="1240" w:type="dxa"/>
            <w:vAlign w:val="bottom"/>
            <w:shd w:val="clear" w:color="auto" w:fill="F3F3F3"/>
          </w:tcPr>
          <w:p>
            <w:pPr>
              <w:spacing w:after="0"/>
              <w:rPr>
                <w:sz w:val="17"/>
                <w:szCs w:val="17"/>
                <w:color w:val="auto"/>
              </w:rPr>
            </w:pPr>
          </w:p>
        </w:tc>
        <w:tc>
          <w:tcPr>
            <w:tcW w:w="100" w:type="dxa"/>
            <w:vAlign w:val="bottom"/>
            <w:shd w:val="clear" w:color="auto" w:fill="F3F3F3"/>
          </w:tcPr>
          <w:p>
            <w:pPr>
              <w:spacing w:after="0"/>
              <w:rPr>
                <w:sz w:val="17"/>
                <w:szCs w:val="17"/>
                <w:color w:val="auto"/>
              </w:rPr>
            </w:pPr>
          </w:p>
        </w:tc>
        <w:tc>
          <w:tcPr>
            <w:tcW w:w="480" w:type="dxa"/>
            <w:vAlign w:val="bottom"/>
            <w:shd w:val="clear" w:color="auto" w:fill="F3F3F3"/>
          </w:tcPr>
          <w:p>
            <w:pPr>
              <w:spacing w:after="0"/>
              <w:rPr>
                <w:sz w:val="17"/>
                <w:szCs w:val="17"/>
                <w:color w:val="auto"/>
              </w:rPr>
            </w:pPr>
          </w:p>
        </w:tc>
        <w:tc>
          <w:tcPr>
            <w:tcW w:w="1120" w:type="dxa"/>
            <w:vAlign w:val="bottom"/>
            <w:shd w:val="clear" w:color="auto" w:fill="F3F3F3"/>
          </w:tcPr>
          <w:p>
            <w:pPr>
              <w:spacing w:after="0"/>
              <w:rPr>
                <w:sz w:val="17"/>
                <w:szCs w:val="17"/>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b w:val="1"/>
                <w:bCs w:val="1"/>
                <w:color w:val="auto"/>
              </w:rPr>
              <w:t>Net decrease in cash and cash equivalents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(464,981)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(356,752)</w:t>
            </w:r>
          </w:p>
        </w:tc>
      </w:tr>
      <w:tr>
        <w:trPr>
          <w:trHeight w:val="216"/>
        </w:trPr>
        <w:tc>
          <w:tcPr>
            <w:tcW w:w="7940" w:type="dxa"/>
            <w:vAlign w:val="bottom"/>
            <w:shd w:val="clear" w:color="auto" w:fill="F3F3F3"/>
          </w:tcPr>
          <w:p>
            <w:pPr>
              <w:spacing w:after="0"/>
              <w:rPr>
                <w:sz w:val="18"/>
                <w:szCs w:val="18"/>
                <w:color w:val="auto"/>
              </w:rPr>
            </w:pPr>
          </w:p>
        </w:tc>
        <w:tc>
          <w:tcPr>
            <w:tcW w:w="360" w:type="dxa"/>
            <w:vAlign w:val="bottom"/>
            <w:shd w:val="clear" w:color="auto" w:fill="F3F3F3"/>
          </w:tcPr>
          <w:p>
            <w:pPr>
              <w:spacing w:after="0"/>
              <w:rPr>
                <w:sz w:val="18"/>
                <w:szCs w:val="18"/>
                <w:color w:val="auto"/>
              </w:rPr>
            </w:pPr>
          </w:p>
        </w:tc>
        <w:tc>
          <w:tcPr>
            <w:tcW w:w="12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c>
          <w:tcPr>
            <w:tcW w:w="1120" w:type="dxa"/>
            <w:vAlign w:val="bottom"/>
            <w:shd w:val="clear" w:color="auto" w:fill="F3F3F3"/>
          </w:tcPr>
          <w:p>
            <w:pPr>
              <w:spacing w:after="0"/>
              <w:rPr>
                <w:sz w:val="18"/>
                <w:szCs w:val="18"/>
                <w:color w:val="auto"/>
              </w:rPr>
            </w:pPr>
          </w:p>
        </w:tc>
      </w:tr>
      <w:tr>
        <w:trPr>
          <w:trHeight w:val="230"/>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7"/>
                <w:szCs w:val="17"/>
                <w:b w:val="1"/>
                <w:bCs w:val="1"/>
                <w:color w:val="auto"/>
              </w:rPr>
              <w:t>Cash and cash equivalents at beginning of period</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809,415</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482,834</w:t>
            </w:r>
          </w:p>
        </w:tc>
      </w:tr>
      <w:tr>
        <w:trPr>
          <w:trHeight w:val="248"/>
        </w:trPr>
        <w:tc>
          <w:tcPr>
            <w:tcW w:w="794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Cash and cash equivalents at end of period</w:t>
            </w:r>
          </w:p>
        </w:tc>
        <w:tc>
          <w:tcPr>
            <w:tcW w:w="360" w:type="dxa"/>
            <w:vAlign w:val="bottom"/>
            <w:tcBorders>
              <w:bottom w:val="single" w:sz="8" w:color="auto"/>
            </w:tcBorders>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344,434</w:t>
            </w:r>
          </w:p>
        </w:tc>
        <w:tc>
          <w:tcPr>
            <w:tcW w:w="10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126,082</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Supplemental disclosure of cash flow information</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7"/>
        </w:trPr>
        <w:tc>
          <w:tcPr>
            <w:tcW w:w="7940" w:type="dxa"/>
            <w:vAlign w:val="bottom"/>
          </w:tcPr>
          <w:p>
            <w:pPr>
              <w:ind w:left="140"/>
              <w:spacing w:after="0"/>
              <w:rPr>
                <w:sz w:val="20"/>
                <w:szCs w:val="20"/>
                <w:color w:val="auto"/>
              </w:rPr>
            </w:pPr>
            <w:r>
              <w:rPr>
                <w:rFonts w:ascii="Arial" w:cs="Arial" w:eastAsia="Arial" w:hAnsi="Arial"/>
                <w:sz w:val="17"/>
                <w:szCs w:val="17"/>
                <w:color w:val="auto"/>
              </w:rPr>
              <w:t>Cash paid during the period for:</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2"/>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Interest</w:t>
            </w:r>
          </w:p>
        </w:tc>
        <w:tc>
          <w:tcPr>
            <w:tcW w:w="360" w:type="dxa"/>
            <w:vAlign w:val="bottom"/>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716</w:t>
            </w:r>
          </w:p>
        </w:tc>
        <w:tc>
          <w:tcPr>
            <w:tcW w:w="100" w:type="dxa"/>
            <w:vAlign w:val="bottom"/>
            <w:shd w:val="clear" w:color="auto" w:fill="F3F3F3"/>
          </w:tcPr>
          <w:p>
            <w:pPr>
              <w:spacing w:after="0"/>
              <w:rPr>
                <w:sz w:val="20"/>
                <w:szCs w:val="20"/>
                <w:color w:val="auto"/>
              </w:rPr>
            </w:pPr>
          </w:p>
        </w:tc>
        <w:tc>
          <w:tcPr>
            <w:tcW w:w="480" w:type="dxa"/>
            <w:vAlign w:val="bottom"/>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1,225</w:t>
            </w:r>
          </w:p>
        </w:tc>
      </w:tr>
    </w:tbl>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See Notes to the Consolidated Financial Statements</w:t>
      </w: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ORGANIZATION AND BASIS OF PRESENTATION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Piper Sandler Companies is the parent company of Piper Sandler &amp; Co. ("Piper Sandler"), a securities broker dealer and investment banking firm; Piper Sandler Ltd., a firm providing securities brokerage and mergers and acquisitions services in the United Kingdom ("U.K."); Piper Sandler Investment Group Inc., PSC Capital Management LLC, PSC Capital Management II LLC and PSC Capital Management III LLC, entities providing alternative asset management services; Piper Sandler Hedging Services, LLC, an entity that assists clients with hedging strategies; Piper Sandler Financial Products II Inc., an entity that facilitates derivative transactions; and other immaterial subsidiaries.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Piper Sandler Companies and its subsidiaries (collectively, the "Company") operate in one reporting segment providing investment banking services and institutional sales, trading and research services. Investment banking services include financial advisory services, management of and participation in underwritings, and municipal financing activities. Revenues are generated through the receipt of advisory and financing fees. Institutional sales, trading and research services focus on the trading of equity and fixed income products with institutions, corporations, government and non-profit entities. Revenues are generated through commissions and sales credits earned on equity and fixed income institutional sales activities, net interest revenues on trading securities held in inventory, profits and losses from trading these securities, and fees for research services and corporate access offerings. Also, the Company has created alternative asset management funds in merchant banking and healthcare in order to invest firm capital and to manage capital from outside investors. The Company records gains and losses from investments in these funds and receives management and performance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Split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On March 23, 2026, the Company effected a four-for-one forward split of its common stock ("Stock Split") through the filing of an amendment to the Company's amended and restated certificate of incorporation. The Stock Split proportionately increased the number of authorized shares of common stock from 100,000,000 to 400,000,000. The Company's common stock began trading on the split-adjusted basis at the start of trading on March 24, 2026. All share and per share amounts presented herein have been retrospectively adjusted to reflect the impact of the Stock Split. All shares of common stock retained a par value of $0.01 per share upon the effectiveness of the Stock Split. Accordingly, an amount equal to the par value of the increased shares resulting from the Stock Split was reclassified from additional paid-in capital to common stock outstanding.</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accompanying consolidated financial statements have been prepared in accordance with United States ("U.S.") generally accepted accounting principles ("GAAP") for interim financial information and the rules and regulations of the Securities and Exchange Commission ("SEC"). Pursuant to this guidance, certain information and disclosures have been omitted that are included within the complete annual financial statements. Except as disclosed herein, there have been no material changes in the information reported in the financial statements and related disclosures in the Company's Annual Report on Form 10-K for the year ended December 31, 2025.</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consolidated financial statements include the accounts of Piper Sandler Companies, its wholly owned subsidiaries, and all other entities in which the Company has a controlling financial interest. Noncontrolling interests represent equity interests in consolidated entities that are not attributable, either directly or indirectly, to Piper Sandler Companies. Noncontrolling interests include the minority equity holders' proportionate share of the equity in the Company's alternative asset management funds. All material intercompany balances have been eliminated.</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Management is required to make estimates and assumptions that affect the reported amounts of assets and liabilities at the date of the financial statements and the reported amounts of revenues and expenses during the reporting period. Although these estimates and assumptions are based on the best information available,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Presentation of Deal-related Expenses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first quarter of 2026, the Company changed its presentation of non-interest expenses on the consolidated statements of operations to remove the separate line item for deal-related expenses. On the consolidated statements of operations, deal-related expenses associated with advisory transactions are included in their respective line items in non-interest expenses and those associated with underwriting transactions are reported in other operating expenses.</w:t>
      </w:r>
    </w:p>
    <w:p>
      <w:pPr>
        <w:spacing w:after="0" w:line="20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Comparative amounts have been reclassified to conform with the current period presentation. This reclassification had no impact on sub-totals or totals on the consolidated statements of operations, including total non-interest expenses. This change had no impact on the consolidated statements of financial condition, consolidated statements of comprehensive income, consolidated statements of changes in shareholders' equity or consolidated statements of cash flows. The following table presents the effects of the change in presentation within the consolidated statements of operations: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780" w:type="dxa"/>
            <w:vAlign w:val="bottom"/>
            <w:gridSpan w:val="4"/>
          </w:tcPr>
          <w:p>
            <w:pPr>
              <w:jc w:val="center"/>
              <w:ind w:right="20"/>
              <w:spacing w:after="0"/>
              <w:rPr>
                <w:sz w:val="20"/>
                <w:szCs w:val="20"/>
                <w:color w:val="auto"/>
              </w:rPr>
            </w:pPr>
            <w:r>
              <w:rPr>
                <w:rFonts w:ascii="Arial" w:cs="Arial" w:eastAsia="Arial" w:hAnsi="Arial"/>
                <w:sz w:val="17"/>
                <w:szCs w:val="17"/>
                <w:b w:val="1"/>
                <w:bCs w:val="1"/>
                <w:color w:val="auto"/>
                <w:w w:val="99"/>
              </w:rPr>
              <w:t>Three Months Ended</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7"/>
                <w:szCs w:val="17"/>
                <w:b w:val="1"/>
                <w:bCs w:val="1"/>
                <w:color w:val="auto"/>
              </w:rPr>
              <w:t>March 31, 2025</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right"/>
              <w:ind w:right="155"/>
              <w:spacing w:after="0" w:line="162" w:lineRule="exact"/>
              <w:rPr>
                <w:sz w:val="20"/>
                <w:szCs w:val="20"/>
                <w:color w:val="auto"/>
              </w:rPr>
            </w:pPr>
            <w:r>
              <w:rPr>
                <w:rFonts w:ascii="Arial" w:cs="Arial" w:eastAsia="Arial" w:hAnsi="Arial"/>
                <w:sz w:val="17"/>
                <w:szCs w:val="17"/>
                <w:b w:val="1"/>
                <w:bCs w:val="1"/>
                <w:color w:val="auto"/>
              </w:rPr>
              <w:t>As Previously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jc w:val="center"/>
              <w:ind w:right="240"/>
              <w:spacing w:after="0"/>
              <w:rPr>
                <w:sz w:val="20"/>
                <w:szCs w:val="20"/>
                <w:color w:val="auto"/>
              </w:rPr>
            </w:pPr>
            <w:r>
              <w:rPr>
                <w:rFonts w:ascii="Arial" w:cs="Arial" w:eastAsia="Arial" w:hAnsi="Arial"/>
                <w:sz w:val="17"/>
                <w:szCs w:val="17"/>
                <w:b w:val="1"/>
                <w:bCs w:val="1"/>
                <w:color w:val="auto"/>
              </w:rPr>
              <w:t>Adjustment</w:t>
            </w:r>
          </w:p>
        </w:tc>
        <w:tc>
          <w:tcPr>
            <w:tcW w:w="220" w:type="dxa"/>
            <w:vAlign w:val="bottom"/>
          </w:tcPr>
          <w:p>
            <w:pPr>
              <w:spacing w:after="0"/>
              <w:rPr>
                <w:sz w:val="14"/>
                <w:szCs w:val="14"/>
                <w:color w:val="auto"/>
              </w:rPr>
            </w:pPr>
          </w:p>
        </w:tc>
        <w:tc>
          <w:tcPr>
            <w:tcW w:w="138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As Adjusted</w:t>
            </w:r>
          </w:p>
        </w:tc>
        <w:tc>
          <w:tcPr>
            <w:tcW w:w="0" w:type="dxa"/>
            <w:vAlign w:val="bottom"/>
          </w:tcPr>
          <w:p>
            <w:pPr>
              <w:spacing w:after="0"/>
              <w:rPr>
                <w:sz w:val="1"/>
                <w:szCs w:val="1"/>
                <w:color w:val="auto"/>
              </w:rPr>
            </w:pPr>
          </w:p>
        </w:tc>
      </w:tr>
      <w:tr>
        <w:trPr>
          <w:trHeight w:val="225"/>
        </w:trPr>
        <w:tc>
          <w:tcPr>
            <w:tcW w:w="6240" w:type="dxa"/>
            <w:vAlign w:val="bottom"/>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180" w:type="dxa"/>
            <w:vAlign w:val="bottom"/>
          </w:tcPr>
          <w:p>
            <w:pPr>
              <w:spacing w:after="0"/>
              <w:rPr>
                <w:sz w:val="19"/>
                <w:szCs w:val="19"/>
                <w:color w:val="auto"/>
              </w:rPr>
            </w:pPr>
          </w:p>
        </w:tc>
        <w:tc>
          <w:tcPr>
            <w:tcW w:w="1440" w:type="dxa"/>
            <w:vAlign w:val="bottom"/>
          </w:tcPr>
          <w:p>
            <w:pPr>
              <w:jc w:val="right"/>
              <w:ind w:right="355"/>
              <w:spacing w:after="0"/>
              <w:rPr>
                <w:sz w:val="20"/>
                <w:szCs w:val="20"/>
                <w:color w:val="auto"/>
              </w:rPr>
            </w:pPr>
            <w:r>
              <w:rPr>
                <w:rFonts w:ascii="Arial" w:cs="Arial" w:eastAsia="Arial" w:hAnsi="Arial"/>
                <w:sz w:val="17"/>
                <w:szCs w:val="17"/>
                <w:b w:val="1"/>
                <w:bCs w:val="1"/>
                <w:color w:val="auto"/>
              </w:rPr>
              <w:t>Reported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24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Non-interest expenses</w:t>
            </w:r>
          </w:p>
        </w:tc>
        <w:tc>
          <w:tcPr>
            <w:tcW w:w="180" w:type="dxa"/>
            <w:vAlign w:val="bottom"/>
            <w:tcBorders>
              <w:top w:val="single" w:sz="8" w:color="auto"/>
            </w:tcBorders>
            <w:shd w:val="clear" w:color="auto" w:fill="F3F3F3"/>
          </w:tcPr>
          <w:p>
            <w:pPr>
              <w:spacing w:after="0"/>
              <w:rPr>
                <w:sz w:val="18"/>
                <w:szCs w:val="18"/>
                <w:color w:val="auto"/>
              </w:rPr>
            </w:pPr>
          </w:p>
        </w:tc>
        <w:tc>
          <w:tcPr>
            <w:tcW w:w="1440" w:type="dxa"/>
            <w:vAlign w:val="bottom"/>
            <w:tcBorders>
              <w:top w:val="single" w:sz="8" w:color="auto"/>
            </w:tcBorders>
            <w:shd w:val="clear" w:color="auto" w:fill="F3F3F3"/>
          </w:tcPr>
          <w:p>
            <w:pPr>
              <w:spacing w:after="0"/>
              <w:rPr>
                <w:sz w:val="18"/>
                <w:szCs w:val="18"/>
                <w:color w:val="auto"/>
              </w:rPr>
            </w:pPr>
          </w:p>
        </w:tc>
        <w:tc>
          <w:tcPr>
            <w:tcW w:w="80" w:type="dxa"/>
            <w:vAlign w:val="bottom"/>
            <w:tcBorders>
              <w:top w:val="single" w:sz="8" w:color="F3F3F3"/>
            </w:tcBorders>
            <w:shd w:val="clear" w:color="auto" w:fill="F3F3F3"/>
          </w:tcPr>
          <w:p>
            <w:pPr>
              <w:spacing w:after="0"/>
              <w:rPr>
                <w:sz w:val="18"/>
                <w:szCs w:val="18"/>
                <w:color w:val="auto"/>
              </w:rPr>
            </w:pPr>
          </w:p>
        </w:tc>
        <w:tc>
          <w:tcPr>
            <w:tcW w:w="160" w:type="dxa"/>
            <w:vAlign w:val="bottom"/>
            <w:tcBorders>
              <w:top w:val="single" w:sz="8" w:color="auto"/>
            </w:tcBorders>
            <w:shd w:val="clear" w:color="auto" w:fill="F3F3F3"/>
          </w:tcPr>
          <w:p>
            <w:pPr>
              <w:spacing w:after="0"/>
              <w:rPr>
                <w:sz w:val="18"/>
                <w:szCs w:val="18"/>
                <w:color w:val="auto"/>
              </w:rPr>
            </w:pPr>
          </w:p>
        </w:tc>
        <w:tc>
          <w:tcPr>
            <w:tcW w:w="1460" w:type="dxa"/>
            <w:vAlign w:val="bottom"/>
            <w:tcBorders>
              <w:top w:val="single" w:sz="8" w:color="auto"/>
            </w:tcBorders>
            <w:shd w:val="clear" w:color="auto" w:fill="F3F3F3"/>
          </w:tcPr>
          <w:p>
            <w:pPr>
              <w:spacing w:after="0"/>
              <w:rPr>
                <w:sz w:val="18"/>
                <w:szCs w:val="18"/>
                <w:color w:val="auto"/>
              </w:rPr>
            </w:pPr>
          </w:p>
        </w:tc>
        <w:tc>
          <w:tcPr>
            <w:tcW w:w="80" w:type="dxa"/>
            <w:vAlign w:val="bottom"/>
            <w:tcBorders>
              <w:top w:val="single" w:sz="8" w:color="F3F3F3"/>
            </w:tcBorders>
            <w:shd w:val="clear" w:color="auto" w:fill="F3F3F3"/>
          </w:tcPr>
          <w:p>
            <w:pPr>
              <w:spacing w:after="0"/>
              <w:rPr>
                <w:sz w:val="18"/>
                <w:szCs w:val="18"/>
                <w:color w:val="auto"/>
              </w:rPr>
            </w:pPr>
          </w:p>
        </w:tc>
        <w:tc>
          <w:tcPr>
            <w:tcW w:w="220" w:type="dxa"/>
            <w:vAlign w:val="bottom"/>
            <w:tcBorders>
              <w:top w:val="single" w:sz="8" w:color="auto"/>
            </w:tcBorders>
            <w:shd w:val="clear" w:color="auto" w:fill="F3F3F3"/>
          </w:tcPr>
          <w:p>
            <w:pPr>
              <w:spacing w:after="0"/>
              <w:rPr>
                <w:sz w:val="18"/>
                <w:szCs w:val="18"/>
                <w:color w:val="auto"/>
              </w:rPr>
            </w:pPr>
          </w:p>
        </w:tc>
        <w:tc>
          <w:tcPr>
            <w:tcW w:w="1380" w:type="dxa"/>
            <w:vAlign w:val="bottom"/>
            <w:tcBorders>
              <w:top w:val="single" w:sz="8" w:color="auto"/>
            </w:tcBorders>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240" w:type="dxa"/>
            <w:vAlign w:val="bottom"/>
          </w:tcPr>
          <w:p>
            <w:pPr>
              <w:ind w:left="140"/>
              <w:spacing w:after="0"/>
              <w:rPr>
                <w:sz w:val="20"/>
                <w:szCs w:val="20"/>
                <w:color w:val="auto"/>
              </w:rPr>
            </w:pPr>
            <w:r>
              <w:rPr>
                <w:rFonts w:ascii="Arial" w:cs="Arial" w:eastAsia="Arial" w:hAnsi="Arial"/>
                <w:sz w:val="17"/>
                <w:szCs w:val="17"/>
                <w:color w:val="auto"/>
              </w:rPr>
              <w:t>Compensation and benefits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248,457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248,457</w:t>
            </w:r>
          </w:p>
        </w:tc>
        <w:tc>
          <w:tcPr>
            <w:tcW w:w="0" w:type="dxa"/>
            <w:vAlign w:val="bottom"/>
          </w:tcPr>
          <w:p>
            <w:pPr>
              <w:spacing w:after="0"/>
              <w:rPr>
                <w:sz w:val="1"/>
                <w:szCs w:val="1"/>
                <w:color w:val="auto"/>
              </w:rPr>
            </w:pPr>
          </w:p>
        </w:tc>
      </w:tr>
      <w:tr>
        <w:trPr>
          <w:trHeight w:val="232"/>
        </w:trPr>
        <w:tc>
          <w:tcPr>
            <w:tcW w:w="62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Occupancy and equipment</w:t>
            </w:r>
          </w:p>
        </w:tc>
        <w:tc>
          <w:tcPr>
            <w:tcW w:w="180" w:type="dxa"/>
            <w:vAlign w:val="bottom"/>
            <w:shd w:val="clear" w:color="auto" w:fill="F3F3F3"/>
          </w:tcPr>
          <w:p>
            <w:pPr>
              <w:spacing w:after="0"/>
              <w:rPr>
                <w:sz w:val="20"/>
                <w:szCs w:val="20"/>
                <w:color w:val="auto"/>
              </w:rPr>
            </w:pPr>
          </w:p>
        </w:tc>
        <w:tc>
          <w:tcPr>
            <w:tcW w:w="14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18,227</w:t>
            </w:r>
          </w:p>
        </w:tc>
        <w:tc>
          <w:tcPr>
            <w:tcW w:w="8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540" w:type="dxa"/>
            <w:vAlign w:val="bottom"/>
            <w:gridSpan w:val="2"/>
            <w:shd w:val="clear" w:color="auto" w:fill="F3F3F3"/>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F3F3F3"/>
          </w:tcPr>
          <w:p>
            <w:pPr>
              <w:spacing w:after="0"/>
              <w:rPr>
                <w:sz w:val="20"/>
                <w:szCs w:val="20"/>
                <w:color w:val="auto"/>
              </w:rPr>
            </w:pPr>
          </w:p>
        </w:tc>
        <w:tc>
          <w:tcPr>
            <w:tcW w:w="13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18,227</w:t>
            </w:r>
          </w:p>
        </w:tc>
        <w:tc>
          <w:tcPr>
            <w:tcW w:w="0" w:type="dxa"/>
            <w:vAlign w:val="bottom"/>
          </w:tcPr>
          <w:p>
            <w:pPr>
              <w:spacing w:after="0"/>
              <w:rPr>
                <w:sz w:val="1"/>
                <w:szCs w:val="1"/>
                <w:color w:val="auto"/>
              </w:rPr>
            </w:pPr>
          </w:p>
        </w:tc>
      </w:tr>
      <w:tr>
        <w:trPr>
          <w:trHeight w:val="227"/>
        </w:trPr>
        <w:tc>
          <w:tcPr>
            <w:tcW w:w="6240" w:type="dxa"/>
            <w:vAlign w:val="bottom"/>
          </w:tcPr>
          <w:p>
            <w:pPr>
              <w:ind w:left="140"/>
              <w:spacing w:after="0"/>
              <w:rPr>
                <w:sz w:val="20"/>
                <w:szCs w:val="20"/>
                <w:color w:val="auto"/>
              </w:rPr>
            </w:pPr>
            <w:r>
              <w:rPr>
                <w:rFonts w:ascii="Arial" w:cs="Arial" w:eastAsia="Arial" w:hAnsi="Arial"/>
                <w:sz w:val="17"/>
                <w:szCs w:val="17"/>
                <w:color w:val="auto"/>
              </w:rPr>
              <w:t>Outside services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14,718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753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15,471</w:t>
            </w:r>
          </w:p>
        </w:tc>
        <w:tc>
          <w:tcPr>
            <w:tcW w:w="0" w:type="dxa"/>
            <w:vAlign w:val="bottom"/>
          </w:tcPr>
          <w:p>
            <w:pPr>
              <w:spacing w:after="0"/>
              <w:rPr>
                <w:sz w:val="1"/>
                <w:szCs w:val="1"/>
                <w:color w:val="auto"/>
              </w:rPr>
            </w:pPr>
          </w:p>
        </w:tc>
      </w:tr>
      <w:tr>
        <w:trPr>
          <w:trHeight w:val="232"/>
        </w:trPr>
        <w:tc>
          <w:tcPr>
            <w:tcW w:w="62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Communications</w:t>
            </w:r>
          </w:p>
        </w:tc>
        <w:tc>
          <w:tcPr>
            <w:tcW w:w="180" w:type="dxa"/>
            <w:vAlign w:val="bottom"/>
            <w:shd w:val="clear" w:color="auto" w:fill="F3F3F3"/>
          </w:tcPr>
          <w:p>
            <w:pPr>
              <w:spacing w:after="0"/>
              <w:rPr>
                <w:sz w:val="20"/>
                <w:szCs w:val="20"/>
                <w:color w:val="auto"/>
              </w:rPr>
            </w:pPr>
          </w:p>
        </w:tc>
        <w:tc>
          <w:tcPr>
            <w:tcW w:w="14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14,779</w:t>
            </w:r>
          </w:p>
        </w:tc>
        <w:tc>
          <w:tcPr>
            <w:tcW w:w="8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4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662</w:t>
            </w:r>
          </w:p>
        </w:tc>
        <w:tc>
          <w:tcPr>
            <w:tcW w:w="80" w:type="dxa"/>
            <w:vAlign w:val="bottom"/>
            <w:shd w:val="clear" w:color="auto" w:fill="F3F3F3"/>
          </w:tcPr>
          <w:p>
            <w:pPr>
              <w:spacing w:after="0"/>
              <w:rPr>
                <w:sz w:val="20"/>
                <w:szCs w:val="20"/>
                <w:color w:val="auto"/>
              </w:rPr>
            </w:pPr>
          </w:p>
        </w:tc>
        <w:tc>
          <w:tcPr>
            <w:tcW w:w="220" w:type="dxa"/>
            <w:vAlign w:val="bottom"/>
            <w:shd w:val="clear" w:color="auto" w:fill="F3F3F3"/>
          </w:tcPr>
          <w:p>
            <w:pPr>
              <w:spacing w:after="0"/>
              <w:rPr>
                <w:sz w:val="20"/>
                <w:szCs w:val="20"/>
                <w:color w:val="auto"/>
              </w:rPr>
            </w:pPr>
          </w:p>
        </w:tc>
        <w:tc>
          <w:tcPr>
            <w:tcW w:w="13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15,441</w:t>
            </w:r>
          </w:p>
        </w:tc>
        <w:tc>
          <w:tcPr>
            <w:tcW w:w="0" w:type="dxa"/>
            <w:vAlign w:val="bottom"/>
          </w:tcPr>
          <w:p>
            <w:pPr>
              <w:spacing w:after="0"/>
              <w:rPr>
                <w:sz w:val="1"/>
                <w:szCs w:val="1"/>
                <w:color w:val="auto"/>
              </w:rPr>
            </w:pPr>
          </w:p>
        </w:tc>
      </w:tr>
      <w:tr>
        <w:trPr>
          <w:trHeight w:val="227"/>
        </w:trPr>
        <w:tc>
          <w:tcPr>
            <w:tcW w:w="6240" w:type="dxa"/>
            <w:vAlign w:val="bottom"/>
          </w:tcPr>
          <w:p>
            <w:pPr>
              <w:ind w:left="140"/>
              <w:spacing w:after="0"/>
              <w:rPr>
                <w:sz w:val="20"/>
                <w:szCs w:val="20"/>
                <w:color w:val="auto"/>
              </w:rPr>
            </w:pPr>
            <w:r>
              <w:rPr>
                <w:rFonts w:ascii="Arial" w:cs="Arial" w:eastAsia="Arial" w:hAnsi="Arial"/>
                <w:sz w:val="17"/>
                <w:szCs w:val="17"/>
                <w:color w:val="auto"/>
              </w:rPr>
              <w:t>Marketing and business development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13,474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14,873</w:t>
            </w:r>
          </w:p>
        </w:tc>
        <w:tc>
          <w:tcPr>
            <w:tcW w:w="0" w:type="dxa"/>
            <w:vAlign w:val="bottom"/>
          </w:tcPr>
          <w:p>
            <w:pPr>
              <w:spacing w:after="0"/>
              <w:rPr>
                <w:sz w:val="1"/>
                <w:szCs w:val="1"/>
                <w:color w:val="auto"/>
              </w:rPr>
            </w:pPr>
          </w:p>
        </w:tc>
      </w:tr>
      <w:tr>
        <w:trPr>
          <w:trHeight w:val="232"/>
        </w:trPr>
        <w:tc>
          <w:tcPr>
            <w:tcW w:w="62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Deal-related expenses</w:t>
            </w:r>
          </w:p>
        </w:tc>
        <w:tc>
          <w:tcPr>
            <w:tcW w:w="180" w:type="dxa"/>
            <w:vAlign w:val="bottom"/>
            <w:shd w:val="clear" w:color="auto" w:fill="F3F3F3"/>
          </w:tcPr>
          <w:p>
            <w:pPr>
              <w:spacing w:after="0"/>
              <w:rPr>
                <w:sz w:val="20"/>
                <w:szCs w:val="20"/>
                <w:color w:val="auto"/>
              </w:rPr>
            </w:pPr>
          </w:p>
        </w:tc>
        <w:tc>
          <w:tcPr>
            <w:tcW w:w="14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5,462</w:t>
            </w:r>
          </w:p>
        </w:tc>
        <w:tc>
          <w:tcPr>
            <w:tcW w:w="8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4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(5,462)</w:t>
            </w:r>
          </w:p>
        </w:tc>
        <w:tc>
          <w:tcPr>
            <w:tcW w:w="80" w:type="dxa"/>
            <w:vAlign w:val="bottom"/>
            <w:shd w:val="clear" w:color="auto" w:fill="F3F3F3"/>
          </w:tcPr>
          <w:p>
            <w:pPr>
              <w:spacing w:after="0"/>
              <w:rPr>
                <w:sz w:val="20"/>
                <w:szCs w:val="20"/>
                <w:color w:val="auto"/>
              </w:rPr>
            </w:pPr>
          </w:p>
        </w:tc>
        <w:tc>
          <w:tcPr>
            <w:tcW w:w="220" w:type="dxa"/>
            <w:vAlign w:val="bottom"/>
            <w:shd w:val="clear" w:color="auto" w:fill="F3F3F3"/>
          </w:tcPr>
          <w:p>
            <w:pPr>
              <w:spacing w:after="0"/>
              <w:rPr>
                <w:sz w:val="20"/>
                <w:szCs w:val="20"/>
                <w:color w:val="auto"/>
              </w:rPr>
            </w:pPr>
          </w:p>
        </w:tc>
        <w:tc>
          <w:tcPr>
            <w:tcW w:w="13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6240" w:type="dxa"/>
            <w:vAlign w:val="bottom"/>
          </w:tcPr>
          <w:p>
            <w:pPr>
              <w:ind w:left="140"/>
              <w:spacing w:after="0"/>
              <w:rPr>
                <w:sz w:val="20"/>
                <w:szCs w:val="20"/>
                <w:color w:val="auto"/>
              </w:rPr>
            </w:pPr>
            <w:r>
              <w:rPr>
                <w:rFonts w:ascii="Arial" w:cs="Arial" w:eastAsia="Arial" w:hAnsi="Arial"/>
                <w:sz w:val="17"/>
                <w:szCs w:val="17"/>
                <w:color w:val="auto"/>
              </w:rPr>
              <w:t>Trade execution and clearance</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5,174</w:t>
            </w:r>
          </w:p>
        </w:tc>
        <w:tc>
          <w:tcPr>
            <w:tcW w:w="0" w:type="dxa"/>
            <w:vAlign w:val="bottom"/>
          </w:tcPr>
          <w:p>
            <w:pPr>
              <w:spacing w:after="0"/>
              <w:rPr>
                <w:sz w:val="1"/>
                <w:szCs w:val="1"/>
                <w:color w:val="auto"/>
              </w:rPr>
            </w:pPr>
          </w:p>
        </w:tc>
      </w:tr>
      <w:tr>
        <w:trPr>
          <w:trHeight w:val="232"/>
        </w:trPr>
        <w:tc>
          <w:tcPr>
            <w:tcW w:w="62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Intangible asset amortization</w:t>
            </w:r>
          </w:p>
        </w:tc>
        <w:tc>
          <w:tcPr>
            <w:tcW w:w="180" w:type="dxa"/>
            <w:vAlign w:val="bottom"/>
            <w:shd w:val="clear" w:color="auto" w:fill="F3F3F3"/>
          </w:tcPr>
          <w:p>
            <w:pPr>
              <w:spacing w:after="0"/>
              <w:rPr>
                <w:sz w:val="20"/>
                <w:szCs w:val="20"/>
                <w:color w:val="auto"/>
              </w:rPr>
            </w:pPr>
          </w:p>
        </w:tc>
        <w:tc>
          <w:tcPr>
            <w:tcW w:w="14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2,076</w:t>
            </w:r>
          </w:p>
        </w:tc>
        <w:tc>
          <w:tcPr>
            <w:tcW w:w="8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540" w:type="dxa"/>
            <w:vAlign w:val="bottom"/>
            <w:gridSpan w:val="2"/>
            <w:shd w:val="clear" w:color="auto" w:fill="F3F3F3"/>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F3F3F3"/>
          </w:tcPr>
          <w:p>
            <w:pPr>
              <w:spacing w:after="0"/>
              <w:rPr>
                <w:sz w:val="20"/>
                <w:szCs w:val="20"/>
                <w:color w:val="auto"/>
              </w:rPr>
            </w:pPr>
          </w:p>
        </w:tc>
        <w:tc>
          <w:tcPr>
            <w:tcW w:w="13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2,076</w:t>
            </w:r>
          </w:p>
        </w:tc>
        <w:tc>
          <w:tcPr>
            <w:tcW w:w="0" w:type="dxa"/>
            <w:vAlign w:val="bottom"/>
          </w:tcPr>
          <w:p>
            <w:pPr>
              <w:spacing w:after="0"/>
              <w:rPr>
                <w:sz w:val="1"/>
                <w:szCs w:val="1"/>
                <w:color w:val="auto"/>
              </w:rPr>
            </w:pPr>
          </w:p>
        </w:tc>
      </w:tr>
      <w:tr>
        <w:trPr>
          <w:trHeight w:val="227"/>
        </w:trPr>
        <w:tc>
          <w:tcPr>
            <w:tcW w:w="62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Other operating expenses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5,472</w:t>
            </w:r>
          </w:p>
        </w:tc>
        <w:tc>
          <w:tcPr>
            <w:tcW w:w="80" w:type="dxa"/>
            <w:vAlign w:val="bottom"/>
            <w:tcBorders>
              <w:bottom w:val="single" w:sz="8" w:color="F3F3F3"/>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2,648</w:t>
            </w:r>
          </w:p>
        </w:tc>
        <w:tc>
          <w:tcPr>
            <w:tcW w:w="80" w:type="dxa"/>
            <w:vAlign w:val="bottom"/>
            <w:tcBorders>
              <w:bottom w:val="single" w:sz="8" w:color="F3F3F3"/>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8,120</w:t>
            </w:r>
          </w:p>
        </w:tc>
        <w:tc>
          <w:tcPr>
            <w:tcW w:w="0" w:type="dxa"/>
            <w:vAlign w:val="bottom"/>
          </w:tcPr>
          <w:p>
            <w:pPr>
              <w:spacing w:after="0"/>
              <w:rPr>
                <w:sz w:val="1"/>
                <w:szCs w:val="1"/>
                <w:color w:val="auto"/>
              </w:rPr>
            </w:pPr>
          </w:p>
        </w:tc>
      </w:tr>
      <w:tr>
        <w:trPr>
          <w:trHeight w:val="249"/>
        </w:trPr>
        <w:tc>
          <w:tcPr>
            <w:tcW w:w="624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Total non-interest expenses</w:t>
            </w:r>
          </w:p>
        </w:tc>
        <w:tc>
          <w:tcPr>
            <w:tcW w:w="1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327,839</w:t>
            </w:r>
          </w:p>
        </w:tc>
        <w:tc>
          <w:tcPr>
            <w:tcW w:w="80" w:type="dxa"/>
            <w:vAlign w:val="bottom"/>
            <w:tcBorders>
              <w:bottom w:val="single" w:sz="8" w:color="F3F3F3"/>
            </w:tcBorders>
            <w:shd w:val="clear" w:color="auto" w:fill="F3F3F3"/>
          </w:tcPr>
          <w:p>
            <w:pPr>
              <w:spacing w:after="0"/>
              <w:rPr>
                <w:sz w:val="21"/>
                <w:szCs w:val="21"/>
                <w:color w:val="auto"/>
              </w:rPr>
            </w:pPr>
          </w:p>
        </w:tc>
        <w:tc>
          <w:tcPr>
            <w:tcW w:w="1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F3F3F3"/>
            </w:tcBorders>
            <w:shd w:val="clear" w:color="auto" w:fill="F3F3F3"/>
          </w:tcPr>
          <w:p>
            <w:pPr>
              <w:spacing w:after="0"/>
              <w:rPr>
                <w:sz w:val="21"/>
                <w:szCs w:val="21"/>
                <w:color w:val="auto"/>
              </w:rPr>
            </w:pPr>
          </w:p>
        </w:tc>
        <w:tc>
          <w:tcPr>
            <w:tcW w:w="220" w:type="dxa"/>
            <w:vAlign w:val="bottom"/>
            <w:tcBorders>
              <w:bottom w:val="single" w:sz="8" w:color="auto"/>
            </w:tcBorders>
            <w:shd w:val="clear" w:color="auto" w:fill="F3F3F3"/>
          </w:tcPr>
          <w:p>
            <w:pPr>
              <w:jc w:val="right"/>
              <w:ind w:right="1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327,839</w:t>
            </w:r>
          </w:p>
        </w:tc>
        <w:tc>
          <w:tcPr>
            <w:tcW w:w="0" w:type="dxa"/>
            <w:vAlign w:val="bottom"/>
          </w:tcPr>
          <w:p>
            <w:pPr>
              <w:spacing w:after="0"/>
              <w:rPr>
                <w:sz w:val="1"/>
                <w:szCs w:val="1"/>
                <w:color w:val="auto"/>
              </w:rPr>
            </w:pPr>
          </w:p>
        </w:tc>
      </w:tr>
      <w:tr>
        <w:trPr>
          <w:trHeight w:val="20"/>
        </w:trPr>
        <w:tc>
          <w:tcPr>
            <w:tcW w:w="6240" w:type="dxa"/>
            <w:vAlign w:val="bottom"/>
            <w:tcBorders>
              <w:top w:val="single" w:sz="8" w:color="F3F3F3"/>
            </w:tcBorders>
          </w:tcPr>
          <w:p>
            <w:pPr>
              <w:spacing w:after="0" w:line="20" w:lineRule="exact"/>
              <w:rPr>
                <w:sz w:val="1"/>
                <w:szCs w:val="1"/>
                <w:color w:val="auto"/>
              </w:rPr>
            </w:pPr>
          </w:p>
        </w:tc>
        <w:tc>
          <w:tcPr>
            <w:tcW w:w="180" w:type="dxa"/>
            <w:vAlign w:val="bottom"/>
            <w:tcBorders>
              <w:top w:val="single" w:sz="8" w:color="F3F3F3"/>
              <w:bottom w:val="single" w:sz="8" w:color="auto"/>
            </w:tcBorders>
          </w:tcPr>
          <w:p>
            <w:pPr>
              <w:spacing w:after="0" w:line="20" w:lineRule="exact"/>
              <w:rPr>
                <w:sz w:val="1"/>
                <w:szCs w:val="1"/>
                <w:color w:val="auto"/>
              </w:rPr>
            </w:pPr>
          </w:p>
        </w:tc>
        <w:tc>
          <w:tcPr>
            <w:tcW w:w="1440" w:type="dxa"/>
            <w:vAlign w:val="bottom"/>
            <w:tcBorders>
              <w:top w:val="single" w:sz="8" w:color="F3F3F3"/>
              <w:bottom w:val="single" w:sz="8" w:color="auto"/>
            </w:tcBorders>
          </w:tcPr>
          <w:p>
            <w:pPr>
              <w:spacing w:after="0" w:line="20" w:lineRule="exact"/>
              <w:rPr>
                <w:sz w:val="1"/>
                <w:szCs w:val="1"/>
                <w:color w:val="auto"/>
              </w:rPr>
            </w:pPr>
          </w:p>
        </w:tc>
        <w:tc>
          <w:tcPr>
            <w:tcW w:w="80" w:type="dxa"/>
            <w:vAlign w:val="bottom"/>
            <w:tcBorders>
              <w:top w:val="single" w:sz="8" w:color="F3F3F3"/>
            </w:tcBorders>
          </w:tcPr>
          <w:p>
            <w:pPr>
              <w:spacing w:after="0" w:line="20" w:lineRule="exact"/>
              <w:rPr>
                <w:sz w:val="1"/>
                <w:szCs w:val="1"/>
                <w:color w:val="auto"/>
              </w:rPr>
            </w:pPr>
          </w:p>
        </w:tc>
        <w:tc>
          <w:tcPr>
            <w:tcW w:w="160" w:type="dxa"/>
            <w:vAlign w:val="bottom"/>
            <w:tcBorders>
              <w:top w:val="single" w:sz="8" w:color="F3F3F3"/>
              <w:bottom w:val="single" w:sz="8" w:color="auto"/>
            </w:tcBorders>
          </w:tcPr>
          <w:p>
            <w:pPr>
              <w:spacing w:after="0" w:line="20" w:lineRule="exact"/>
              <w:rPr>
                <w:sz w:val="1"/>
                <w:szCs w:val="1"/>
                <w:color w:val="auto"/>
              </w:rPr>
            </w:pPr>
          </w:p>
        </w:tc>
        <w:tc>
          <w:tcPr>
            <w:tcW w:w="1460" w:type="dxa"/>
            <w:vAlign w:val="bottom"/>
            <w:tcBorders>
              <w:top w:val="single" w:sz="8" w:color="F3F3F3"/>
              <w:bottom w:val="single" w:sz="8" w:color="auto"/>
            </w:tcBorders>
          </w:tcPr>
          <w:p>
            <w:pPr>
              <w:spacing w:after="0" w:line="20" w:lineRule="exact"/>
              <w:rPr>
                <w:sz w:val="1"/>
                <w:szCs w:val="1"/>
                <w:color w:val="auto"/>
              </w:rPr>
            </w:pPr>
          </w:p>
        </w:tc>
        <w:tc>
          <w:tcPr>
            <w:tcW w:w="80" w:type="dxa"/>
            <w:vAlign w:val="bottom"/>
            <w:tcBorders>
              <w:top w:val="single" w:sz="8" w:color="F3F3F3"/>
            </w:tcBorders>
          </w:tcPr>
          <w:p>
            <w:pPr>
              <w:spacing w:after="0" w:line="20" w:lineRule="exact"/>
              <w:rPr>
                <w:sz w:val="1"/>
                <w:szCs w:val="1"/>
                <w:color w:val="auto"/>
              </w:rPr>
            </w:pPr>
          </w:p>
        </w:tc>
        <w:tc>
          <w:tcPr>
            <w:tcW w:w="220" w:type="dxa"/>
            <w:vAlign w:val="bottom"/>
            <w:tcBorders>
              <w:top w:val="single" w:sz="8" w:color="F3F3F3"/>
              <w:bottom w:val="single" w:sz="8" w:color="auto"/>
            </w:tcBorders>
          </w:tcPr>
          <w:p>
            <w:pPr>
              <w:spacing w:after="0" w:line="20" w:lineRule="exact"/>
              <w:rPr>
                <w:sz w:val="1"/>
                <w:szCs w:val="1"/>
                <w:color w:val="auto"/>
              </w:rPr>
            </w:pPr>
          </w:p>
        </w:tc>
        <w:tc>
          <w:tcPr>
            <w:tcW w:w="1380" w:type="dxa"/>
            <w:vAlign w:val="bottom"/>
            <w:tcBorders>
              <w:top w:val="single" w:sz="8" w:color="F3F3F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SUMMARY OF SIGNIFICANT ACCOUNTING POLICIES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Refer to the Company's Annual Report on Form 10-K for the year ended December 31, 2025 for a full description of the Company's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Applicable Accounting Standards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Income Statement Expenses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November 2024, the Financial Accounting Standards Board ("FASB") issued Accounting Standards Update ("ASU") No. 2024-03, "Disaggregation of Income Statement Expenses" ("ASU 2024-03"). This guidance enhances the disclosure of income statement expenses by requiring disaggregated information about certain income statement expense line items. ASU 2024-03 is effective for annual periods beginning after December 15, 2026 and interim periods beginning after December 15, 2027. Early adoption is permitted. The Company is currently assessing the impact of ASU 2024-03 on its financial statement disclosures.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ACQUISITIONS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following acquisition was accounted for pursuant to FASB Accounting Standards Codification Topic 805, "Business Combinations." Accordingly, the purchase price was allocated to the acquired assets and liabilities assumed based on their estimated fair values as of the acquisition date. The excess of the purchase price over the net assets acquired was allocated between goodwill and intangible assets. The fair value of the retention-related restricted stock was determined using the market price of the Company's common stock on the date of acquisition.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Squared Capital Partners LLC ("G Squared")</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On September 12, 2025, the Company completed the acquisition of G Squared, a boutique investment bank specializing in government services and defense technology. The acquisition expanded the scale of the Company's investment banking technology sector. The purchase price consisted of cash consideration, and restricted stock and restricted cash were granted for retention purposes.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Additional cash of up to $8.0 million may be earned by certain employees if a net revenue target is achieved during the performance period from January 1, 2026 to December 31, 2027 and they are employed by the Company at the time of the respective payment. Amounts estimated to be payable, if any, will be recorded as compensation expense on the consolidated statements of operations over the requisite service period. If earned, amounts will be paid in the first quarter of 2028 and in the first quarter of 2029.</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recorded $7.3 million of goodwill on the consolidated statements of financial condition, all of which is expected to be deductible for income tax purposes. In management's opinion, the goodwill represents the reputation and operating expertise of G Squared. Identifiable intangible assets purchased by the Company consisted of customer relationships with an acquisition date fair value of $2.2 million.</w:t>
      </w:r>
    </w:p>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Pro forma financial information is not presented as the acquisition is not material. The results of operations of G Squared have been included in the Company's consolidated financial statements prospectively beginning on the acquisition date.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RECEIVABLES FROM AND PAYABLES TO BROKERS, DEALERS AND CLEARING ORGANIZATIONS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Arial" w:cs="Arial" w:eastAsia="Arial" w:hAnsi="Arial"/>
                <w:sz w:val="17"/>
                <w:szCs w:val="17"/>
                <w:b w:val="1"/>
                <w:bCs w:val="1"/>
                <w:color w:val="auto"/>
              </w:rPr>
              <w:t>December 31,</w:t>
            </w:r>
          </w:p>
        </w:tc>
      </w:tr>
      <w:tr>
        <w:trPr>
          <w:trHeight w:val="236"/>
        </w:trPr>
        <w:tc>
          <w:tcPr>
            <w:tcW w:w="790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2025</w:t>
            </w:r>
          </w:p>
        </w:tc>
      </w:tr>
      <w:tr>
        <w:trPr>
          <w:trHeight w:val="211"/>
        </w:trPr>
        <w:tc>
          <w:tcPr>
            <w:tcW w:w="790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Receivables from brokers, dealers and clearing organizations</w:t>
            </w:r>
          </w:p>
        </w:tc>
        <w:tc>
          <w:tcPr>
            <w:tcW w:w="260" w:type="dxa"/>
            <w:vAlign w:val="bottom"/>
            <w:shd w:val="clear" w:color="auto" w:fill="F3F3F3"/>
          </w:tcPr>
          <w:p>
            <w:pPr>
              <w:spacing w:after="0"/>
              <w:rPr>
                <w:sz w:val="18"/>
                <w:szCs w:val="18"/>
                <w:color w:val="auto"/>
              </w:rPr>
            </w:pPr>
          </w:p>
        </w:tc>
        <w:tc>
          <w:tcPr>
            <w:tcW w:w="13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180" w:type="dxa"/>
            <w:vAlign w:val="bottom"/>
            <w:shd w:val="clear" w:color="auto" w:fill="F3F3F3"/>
          </w:tcPr>
          <w:p>
            <w:pPr>
              <w:spacing w:after="0"/>
              <w:rPr>
                <w:sz w:val="18"/>
                <w:szCs w:val="18"/>
                <w:color w:val="auto"/>
              </w:rPr>
            </w:pPr>
          </w:p>
        </w:tc>
        <w:tc>
          <w:tcPr>
            <w:tcW w:w="1420" w:type="dxa"/>
            <w:vAlign w:val="bottom"/>
            <w:shd w:val="clear" w:color="auto" w:fill="F3F3F3"/>
          </w:tcPr>
          <w:p>
            <w:pPr>
              <w:spacing w:after="0"/>
              <w:rPr>
                <w:sz w:val="18"/>
                <w:szCs w:val="18"/>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7"/>
                <w:szCs w:val="17"/>
                <w:color w:val="auto"/>
              </w:rPr>
              <w:t>Receivable from clearing organizations</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79,842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33,482</w:t>
            </w:r>
          </w:p>
        </w:tc>
      </w:tr>
      <w:tr>
        <w:trPr>
          <w:trHeight w:val="229"/>
        </w:trPr>
        <w:tc>
          <w:tcPr>
            <w:tcW w:w="7900" w:type="dxa"/>
            <w:vAlign w:val="bottom"/>
            <w:shd w:val="clear" w:color="auto" w:fill="F3F3F3"/>
          </w:tcPr>
          <w:p>
            <w:pPr>
              <w:ind w:left="120"/>
              <w:spacing w:after="0"/>
              <w:rPr>
                <w:sz w:val="20"/>
                <w:szCs w:val="20"/>
                <w:color w:val="auto"/>
              </w:rPr>
            </w:pPr>
            <w:r>
              <w:rPr>
                <w:rFonts w:ascii="Arial" w:cs="Arial" w:eastAsia="Arial" w:hAnsi="Arial"/>
                <w:sz w:val="17"/>
                <w:szCs w:val="17"/>
                <w:color w:val="auto"/>
              </w:rPr>
              <w:t>Receivable from brokers and dealers</w:t>
            </w:r>
          </w:p>
        </w:tc>
        <w:tc>
          <w:tcPr>
            <w:tcW w:w="26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31,355</w:t>
            </w:r>
          </w:p>
        </w:tc>
        <w:tc>
          <w:tcPr>
            <w:tcW w:w="10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spacing w:after="0"/>
              <w:rPr>
                <w:sz w:val="19"/>
                <w:szCs w:val="19"/>
                <w:color w:val="auto"/>
              </w:rPr>
            </w:pP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20,130</w:t>
            </w:r>
          </w:p>
        </w:tc>
      </w:tr>
      <w:tr>
        <w:trPr>
          <w:trHeight w:val="223"/>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Total receivables from brokers, dealers and clearing organizations</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111,197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53,612</w:t>
            </w:r>
          </w:p>
        </w:tc>
      </w:tr>
      <w:tr>
        <w:trPr>
          <w:trHeight w:val="20"/>
        </w:trPr>
        <w:tc>
          <w:tcPr>
            <w:tcW w:w="7900" w:type="dxa"/>
            <w:vAlign w:val="bottom"/>
            <w:tcBorders>
              <w:bottom w:val="single" w:sz="8" w:color="F3F3F3"/>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3F3F3"/>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790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spacing w:after="0"/>
              <w:rPr>
                <w:sz w:val="19"/>
                <w:szCs w:val="19"/>
                <w:color w:val="auto"/>
              </w:rPr>
            </w:pPr>
          </w:p>
        </w:tc>
      </w:tr>
      <w:tr>
        <w:trPr>
          <w:trHeight w:val="230"/>
        </w:trPr>
        <w:tc>
          <w:tcPr>
            <w:tcW w:w="79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Payables to brokers, dealers and clearing organizations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900" w:type="dxa"/>
            <w:vAlign w:val="bottom"/>
            <w:shd w:val="clear" w:color="auto" w:fill="F3F3F3"/>
          </w:tcPr>
          <w:p>
            <w:pPr>
              <w:ind w:left="120"/>
              <w:spacing w:after="0"/>
              <w:rPr>
                <w:sz w:val="20"/>
                <w:szCs w:val="20"/>
                <w:color w:val="auto"/>
              </w:rPr>
            </w:pPr>
            <w:r>
              <w:rPr>
                <w:rFonts w:ascii="Arial" w:cs="Arial" w:eastAsia="Arial" w:hAnsi="Arial"/>
                <w:sz w:val="17"/>
                <w:szCs w:val="17"/>
                <w:color w:val="auto"/>
              </w:rPr>
              <w:t>Payable to brokers and dealers</w:t>
            </w:r>
          </w:p>
        </w:tc>
        <w:tc>
          <w:tcPr>
            <w:tcW w:w="260" w:type="dxa"/>
            <w:vAlign w:val="bottom"/>
            <w:shd w:val="clear" w:color="auto" w:fill="F3F3F3"/>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39,639</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22,358</w:t>
            </w:r>
          </w:p>
        </w:tc>
      </w:tr>
      <w:tr>
        <w:trPr>
          <w:trHeight w:val="230"/>
        </w:trPr>
        <w:tc>
          <w:tcPr>
            <w:tcW w:w="7900" w:type="dxa"/>
            <w:vAlign w:val="bottom"/>
            <w:tcBorders>
              <w:bottom w:val="single" w:sz="8" w:color="F3F3F3"/>
            </w:tcBorders>
          </w:tcPr>
          <w:p>
            <w:pPr>
              <w:ind w:left="120"/>
              <w:spacing w:after="0"/>
              <w:rPr>
                <w:sz w:val="20"/>
                <w:szCs w:val="20"/>
                <w:color w:val="auto"/>
              </w:rPr>
            </w:pPr>
            <w:r>
              <w:rPr>
                <w:rFonts w:ascii="Arial" w:cs="Arial" w:eastAsia="Arial" w:hAnsi="Arial"/>
                <w:sz w:val="17"/>
                <w:szCs w:val="17"/>
                <w:color w:val="auto"/>
              </w:rPr>
              <w:t>Payable to clearing organizations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1,268</w:t>
            </w:r>
          </w:p>
        </w:tc>
        <w:tc>
          <w:tcPr>
            <w:tcW w:w="100" w:type="dxa"/>
            <w:vAlign w:val="bottom"/>
            <w:tcBorders>
              <w:bottom w:val="single" w:sz="8" w:color="F3F3F3"/>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790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Total payables to brokers, dealers and clearing organizations</w:t>
            </w:r>
          </w:p>
        </w:tc>
        <w:tc>
          <w:tcPr>
            <w:tcW w:w="260" w:type="dxa"/>
            <w:vAlign w:val="bottom"/>
            <w:tcBorders>
              <w:bottom w:val="single" w:sz="8" w:color="auto"/>
            </w:tcBorders>
            <w:shd w:val="clear" w:color="auto" w:fill="F3F3F3"/>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40,907</w:t>
            </w:r>
          </w:p>
        </w:tc>
        <w:tc>
          <w:tcPr>
            <w:tcW w:w="100" w:type="dxa"/>
            <w:vAlign w:val="bottom"/>
            <w:tcBorders>
              <w:bottom w:val="single" w:sz="8" w:color="F3F3F3"/>
            </w:tcBorders>
            <w:shd w:val="clear" w:color="auto" w:fill="F3F3F3"/>
          </w:tcPr>
          <w:p>
            <w:pPr>
              <w:spacing w:after="0"/>
              <w:rPr>
                <w:sz w:val="21"/>
                <w:szCs w:val="21"/>
                <w:color w:val="auto"/>
              </w:rPr>
            </w:pPr>
          </w:p>
        </w:tc>
        <w:tc>
          <w:tcPr>
            <w:tcW w:w="1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22,358</w:t>
            </w:r>
          </w:p>
        </w:tc>
      </w:tr>
      <w:tr>
        <w:trPr>
          <w:trHeight w:val="20"/>
        </w:trPr>
        <w:tc>
          <w:tcPr>
            <w:tcW w:w="7900" w:type="dxa"/>
            <w:vAlign w:val="bottom"/>
            <w:tcBorders>
              <w:top w:val="single" w:sz="8" w:color="F3F3F3"/>
            </w:tcBorders>
          </w:tcPr>
          <w:p>
            <w:pPr>
              <w:spacing w:after="0" w:line="20" w:lineRule="exact"/>
              <w:rPr>
                <w:sz w:val="1"/>
                <w:szCs w:val="1"/>
                <w:color w:val="auto"/>
              </w:rPr>
            </w:pPr>
          </w:p>
        </w:tc>
        <w:tc>
          <w:tcPr>
            <w:tcW w:w="260" w:type="dxa"/>
            <w:vAlign w:val="bottom"/>
            <w:tcBorders>
              <w:top w:val="single" w:sz="8" w:color="F3F3F3"/>
              <w:bottom w:val="single" w:sz="8" w:color="auto"/>
            </w:tcBorders>
          </w:tcPr>
          <w:p>
            <w:pPr>
              <w:spacing w:after="0" w:line="20" w:lineRule="exact"/>
              <w:rPr>
                <w:sz w:val="1"/>
                <w:szCs w:val="1"/>
                <w:color w:val="auto"/>
              </w:rPr>
            </w:pPr>
          </w:p>
        </w:tc>
        <w:tc>
          <w:tcPr>
            <w:tcW w:w="13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80" w:type="dxa"/>
            <w:vAlign w:val="bottom"/>
            <w:tcBorders>
              <w:top w:val="single" w:sz="8" w:color="F3F3F3"/>
              <w:bottom w:val="single" w:sz="8" w:color="auto"/>
            </w:tcBorders>
          </w:tcPr>
          <w:p>
            <w:pPr>
              <w:spacing w:after="0" w:line="20" w:lineRule="exact"/>
              <w:rPr>
                <w:sz w:val="1"/>
                <w:szCs w:val="1"/>
                <w:color w:val="auto"/>
              </w:rPr>
            </w:pPr>
          </w:p>
        </w:tc>
        <w:tc>
          <w:tcPr>
            <w:tcW w:w="1420" w:type="dxa"/>
            <w:vAlign w:val="bottom"/>
            <w:tcBorders>
              <w:top w:val="single" w:sz="8" w:color="F3F3F3"/>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 the Company's fully disclosed clearing agreement, all of its securities inventories with the exception of convertible securities, and all of its customer activities are held by or cleared through Pershing LLC ("Pershing"). The Company has established an arrangement to obtain financing from Pershing related to the majority of its trading activities. The Company also has a clearing arrangement with bank financing related to its convertible securities inventories. Financing under these arrangements is secured primarily by securities, and collateral limitations could reduce the amount of funding available under these arrangements. The funding is at their discretion and could be denied. The Company's clearing arrangement activities are recorded net of trading activity. The Company's fully disclosed clearing agreement includes a covenant requiring Piper Sandler to maintain excess net capital of $120 million.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FAIR VALUE OF FINANCIAL INSTRUMENTS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Based on the nature of the Company's business and its role as a "dealer" in the securities industry or as a manager of alternative asset management funds, the fair values of its financial instruments are determined internally. The Company's processes are designed to ensure that the fair values used for financial reporting are based on observable inputs wherever possible. In the event that observable inputs are not available, unobservable inputs are developed based on an evaluation of all relevant empirical market data, including prices evidenced by market transactions, interest rates, credit spreads, volatilities and correlations and other security-specific information. Valuation adjustments related to illiquidity or counterparty credit risk are also considered. In estimating fair value, the Company may utilize information provided by third-party pricing vendors to corroborate internally-developed fair value estimates.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Company employs specific control processes to determine the reasonableness of the fair value of its financial instruments. The Company's processes are designed to ensure that the internally-estimated fair values are accurately recorded and that the data inputs and the valuation techniques used are appropriate, consistently applied, and that the assumptions are reasonable and consistent with the objective of determining fair value. Individuals outside of the trading departments perform independent pricing verification reviews as of each reporting date. The Company has established parameters which set forth when the fair value of securities is independently verified. The selection parameters are generally based upon the type of security, the level of estimation risk of a security, the materiality of the security to the Company's consolidated financial statements, changes in fair value from period to period, and other specific facts and circumstances of the Company's securities portfolio. In evaluating the initial internally-estimated fair values made by the Company's traders, the nature and complexity of securities involved (e.g., term, coupon, collateral, and other key drivers of value), level of market activity for securities, and availability of market data are considered. The independent price verification procedures include, but are not limited to, analysis of trade data (both internal and external where available), corroboration to the valuation of positions with similar characteristics, risks and components, or comparison to an alternative pricing source, such as a discounted cash flow model. The Company's valuation committees, comprised of members of senior management and risk management, provide oversight and overall responsibility for the internal control processes and procedures related to fair value measurements.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description of the valuation techniques used to measure fair value.</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Cash equivalents include highly liquid investments with original maturities of 90 days or less. Actively traded money market funds are measured at their net asset value and classified as Level I.</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Other Inventory Positions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records financial instruments and other inventory positions owned and financial instruments and other inventory positions sold, but not yet purchased at fair value on the consolidated statements of financial condition with unrealized gains and losses reflected on the consolidated statements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Securities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Convertible securities are valued based on observable trades, when available, and therefore are generally categorized as Level II.</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Exchange traded equity securities are valued based on quoted prices from the exchange for identical assets or liabilities as of the period-end date. To the extent these securities are actively traded and valuation adjustments are not applied, they are categorized as Level I. Non-exchange traded equity securities are measured primarily using broker quotations, prices observed for recently executed market transactions and internally-developed fair value estimates based on observable inputs and are categorized as Level II.</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Fixed Income Securities</w:t>
      </w:r>
    </w:p>
    <w:p>
      <w:pPr>
        <w:spacing w:after="0" w:line="179" w:lineRule="exact"/>
        <w:rPr>
          <w:sz w:val="20"/>
          <w:szCs w:val="20"/>
          <w:color w:val="auto"/>
        </w:rPr>
      </w:pPr>
    </w:p>
    <w:p>
      <w:pPr>
        <w:jc w:val="both"/>
        <w:ind w:right="20"/>
        <w:spacing w:after="0" w:line="262" w:lineRule="auto"/>
        <w:rPr>
          <w:sz w:val="20"/>
          <w:szCs w:val="20"/>
          <w:color w:val="auto"/>
        </w:rPr>
      </w:pPr>
      <w:r>
        <w:rPr>
          <w:rFonts w:ascii="Arial" w:cs="Arial" w:eastAsia="Arial" w:hAnsi="Arial"/>
          <w:sz w:val="17"/>
          <w:szCs w:val="17"/>
          <w:color w:val="auto"/>
        </w:rPr>
        <w:t>Fixed income securities include corporate bonds which are valued based on recently executed market transactions of comparable size, internally-developed fair value estimates based on observable inputs, or broker quotations. Accordingly, these corporate bonds are categorized as Level II.</w:t>
      </w:r>
    </w:p>
    <w:p>
      <w:pPr>
        <w:spacing w:after="0"/>
        <w:rPr>
          <w:sz w:val="20"/>
          <w:szCs w:val="20"/>
          <w:color w:val="auto"/>
        </w:rPr>
      </w:pPr>
      <w:r>
        <w:rPr>
          <w:rFonts w:ascii="Arial" w:cs="Arial" w:eastAsia="Arial" w:hAnsi="Arial"/>
          <w:sz w:val="18"/>
          <w:szCs w:val="18"/>
          <w:b w:val="1"/>
          <w:bCs w:val="1"/>
          <w:i w:val="1"/>
          <w:iCs w:val="1"/>
          <w:color w:val="auto"/>
        </w:rPr>
        <w:t>Taxable Municipal Securities</w:t>
      </w:r>
    </w:p>
    <w:p>
      <w:pPr>
        <w:spacing w:after="0" w:line="176"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Taxable municipal securities are valued using recently executed observable trades or market price quotations and therefore are generally categorized as Level II.</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Municipal Securities</w:t>
      </w:r>
    </w:p>
    <w:p>
      <w:pPr>
        <w:spacing w:after="0" w:line="19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Tax-exempt municipal securities are valued using recently executed observable trades or market price quotations and therefore are generally categorized as Level II.</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Municipal Securities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Short-term municipal securities include variable rate demand notes and other short-term municipal securities. Variable rate demand notes and other short-term municipal securities are valued using recently executed observable trades or market price quotations and therefore are generally categorized as Level II.</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Asset-Backed Securities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Asset-backed securities are valued using recently executed observable trades, when available, and therefore are generally categorized as Level II. Certain asset-backed securities are valued using models where inputs to the model are directly observable in the market, or can be derived principally from or corroborated by observable market data. Accordingly, these asset-backed securities are categorized as Level II.</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Agency Securities</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U.S. government agency securities include agency debt bonds, mortgage bonds and Small Business Administration ("SBA") loans. Agency debt bonds are valued by using either direct price quotes or price quotes for comparable bond securities and are categorized as Level II. Mortgage bonds include bonds secured by mortgages, mortgage pass-through securities, agency collateralized mortgage-obligation ("CMO") securities and agency interest-only securities. Mortgage pass-through securities, CMO securities and interest-only securities are valued using recently executed observable trades or other observable inputs, such as prepayment speeds and therefore are generally categorized as Level II. Mortgage bonds are valued using observable market inputs, such as market yields on spreads over U.S. treasury securities, or models based upon prepayment expectations and are categorized as Level II. The Company purchases the guaranteed portions of SBA loans, which are aggregated into pools for securitization and sold in the secondary market. Prior to securitization, the SBA loans are valued using third-party price quotations. The securitized pools of SBA loans are valued using direct price quotations or price quotations for comparable securities and are generally categorized as Level II.</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Securities</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U.S. government securities include highly liquid U.S. treasury securities which are generally valued using quoted market prices and therefore are categorized as Level I. The Company does not transact in securities of countries other than the U.S. government.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Contracts</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Derivative contracts include interest rate swaps, interest rate locks, U.S. treasury bond futures, and equity option contracts. These instruments derive their value from underlying assets, reference rates, indices or a combination of these factors. The majority of the Company's interest rate derivative contracts, including both interest rate swaps and interest rate locks, are valued using market standard pricing models based on the net present value of estimated future cash flows. The valuation models used do not involve material subjectivity as the methodologies do not entail significant judgment and the pricing inputs are market observable, including contractual terms, yield curves and measures of volatility. These instruments are classified as Level II within the fair value hierarchy. Certain interest rate locks transact in less active markets and are valued using valuation models that include the previously mentioned observable inputs and certain unobservable inputs that require significant judgment, such as the premium over the Municipal Market Data ("MMD") curve. These instruments are classified as Level III.</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Company's investments valued at fair value include equity investments in private companies and mutual funds related to deferred compensation plans. Investments in private companies are valued based on an assessment of each underlying security, considering rounds of financing, the financial condition and operating results of the private company, third-party transactions and market-based information, including comparable company transactions, trading multiples (e.g., multiples of revenue and earnings before interest, taxes, depreciation and amortization ("EBITDA")), discounted cash flow analyses and changes in market outlook, among other factors. These securities are categorized based on the lowest level of input that is significant to the fair value measurement. Certain underlying securities, as well as investments in mutual funds, are valued based on quoted prices from the exchange for identical assets as of the period-end date. To the extent these securities are actively traded and valuation adjustments are not applied, they are categorized as Level I. See Note 15 for additional information about the Company's deferred compensation plans.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6"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summarizes the valuation of the Company's financial instruments by pricing observability levels defined in FASB Accounting Standards Codification Topic 820, "Fair Value Measurement" ("ASC 820") as of March 31, 2026:</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Counterparty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and Cash</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Collateral</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00" w:type="dxa"/>
            <w:vAlign w:val="bottom"/>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I</w:t>
            </w: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7"/>
                <w:szCs w:val="17"/>
                <w:b w:val="1"/>
                <w:bCs w:val="1"/>
                <w:color w:val="auto"/>
              </w:rPr>
              <w:t>Level II</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7"/>
                <w:szCs w:val="17"/>
                <w:b w:val="1"/>
                <w:bCs w:val="1"/>
                <w:color w:val="auto"/>
              </w:rPr>
              <w:t>Level III</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Netting (1)</w:t>
            </w:r>
          </w:p>
        </w:tc>
        <w:tc>
          <w:tcPr>
            <w:tcW w:w="320" w:type="dxa"/>
            <w:vAlign w:val="bottom"/>
          </w:tcPr>
          <w:p>
            <w:pPr>
              <w:spacing w:after="0"/>
              <w:rPr>
                <w:sz w:val="20"/>
                <w:szCs w:val="20"/>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1"/>
        </w:trPr>
        <w:tc>
          <w:tcPr>
            <w:tcW w:w="360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Assets</w:t>
            </w:r>
          </w:p>
        </w:tc>
        <w:tc>
          <w:tcPr>
            <w:tcW w:w="280" w:type="dxa"/>
            <w:vAlign w:val="bottom"/>
            <w:tcBorders>
              <w:top w:val="single" w:sz="8" w:color="auto"/>
            </w:tcBorders>
            <w:shd w:val="clear" w:color="auto" w:fill="F3F3F3"/>
          </w:tcPr>
          <w:p>
            <w:pPr>
              <w:spacing w:after="0"/>
              <w:rPr>
                <w:sz w:val="18"/>
                <w:szCs w:val="18"/>
                <w:color w:val="auto"/>
              </w:rPr>
            </w:pPr>
          </w:p>
        </w:tc>
        <w:tc>
          <w:tcPr>
            <w:tcW w:w="116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280" w:type="dxa"/>
            <w:vAlign w:val="bottom"/>
            <w:tcBorders>
              <w:top w:val="single" w:sz="8" w:color="auto"/>
            </w:tcBorders>
            <w:shd w:val="clear" w:color="auto" w:fill="F3F3F3"/>
          </w:tcPr>
          <w:p>
            <w:pPr>
              <w:spacing w:after="0"/>
              <w:rPr>
                <w:sz w:val="18"/>
                <w:szCs w:val="18"/>
                <w:color w:val="auto"/>
              </w:rPr>
            </w:pPr>
          </w:p>
        </w:tc>
        <w:tc>
          <w:tcPr>
            <w:tcW w:w="116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260" w:type="dxa"/>
            <w:vAlign w:val="bottom"/>
            <w:tcBorders>
              <w:top w:val="single" w:sz="8" w:color="auto"/>
            </w:tcBorders>
            <w:shd w:val="clear" w:color="auto" w:fill="F3F3F3"/>
          </w:tcPr>
          <w:p>
            <w:pPr>
              <w:spacing w:after="0"/>
              <w:rPr>
                <w:sz w:val="18"/>
                <w:szCs w:val="18"/>
                <w:color w:val="auto"/>
              </w:rPr>
            </w:pPr>
          </w:p>
        </w:tc>
        <w:tc>
          <w:tcPr>
            <w:tcW w:w="118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160" w:type="dxa"/>
            <w:vAlign w:val="bottom"/>
            <w:tcBorders>
              <w:top w:val="single" w:sz="8" w:color="auto"/>
            </w:tcBorders>
            <w:shd w:val="clear" w:color="auto" w:fill="F3F3F3"/>
          </w:tcPr>
          <w:p>
            <w:pPr>
              <w:spacing w:after="0"/>
              <w:rPr>
                <w:sz w:val="18"/>
                <w:szCs w:val="18"/>
                <w:color w:val="auto"/>
              </w:rPr>
            </w:pPr>
          </w:p>
        </w:tc>
        <w:tc>
          <w:tcPr>
            <w:tcW w:w="130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320" w:type="dxa"/>
            <w:vAlign w:val="bottom"/>
            <w:tcBorders>
              <w:top w:val="single" w:sz="8" w:color="auto"/>
            </w:tcBorders>
            <w:shd w:val="clear" w:color="auto" w:fill="F3F3F3"/>
          </w:tcPr>
          <w:p>
            <w:pPr>
              <w:spacing w:after="0"/>
              <w:rPr>
                <w:sz w:val="18"/>
                <w:szCs w:val="18"/>
                <w:color w:val="auto"/>
              </w:rPr>
            </w:pPr>
          </w:p>
        </w:tc>
        <w:tc>
          <w:tcPr>
            <w:tcW w:w="1140" w:type="dxa"/>
            <w:vAlign w:val="bottom"/>
            <w:tcBorders>
              <w:top w:val="single" w:sz="8" w:color="auto"/>
            </w:tcBorders>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40"/>
              <w:spacing w:after="0" w:line="167" w:lineRule="exact"/>
              <w:rPr>
                <w:sz w:val="20"/>
                <w:szCs w:val="20"/>
                <w:color w:val="auto"/>
              </w:rPr>
            </w:pPr>
            <w:r>
              <w:rPr>
                <w:rFonts w:ascii="Arial" w:cs="Arial" w:eastAsia="Arial" w:hAnsi="Arial"/>
                <w:sz w:val="17"/>
                <w:szCs w:val="17"/>
                <w:b w:val="1"/>
                <w:bCs w:val="1"/>
                <w:i w:val="1"/>
                <w:iCs w:val="1"/>
                <w:color w:val="auto"/>
              </w:rPr>
              <w:t>Financial instruments and other inventory</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220"/>
              <w:spacing w:after="0"/>
              <w:rPr>
                <w:sz w:val="20"/>
                <w:szCs w:val="20"/>
                <w:color w:val="auto"/>
              </w:rPr>
            </w:pPr>
            <w:r>
              <w:rPr>
                <w:rFonts w:ascii="Arial" w:cs="Arial" w:eastAsia="Arial" w:hAnsi="Arial"/>
                <w:sz w:val="17"/>
                <w:szCs w:val="17"/>
                <w:b w:val="1"/>
                <w:bCs w:val="1"/>
                <w:i w:val="1"/>
                <w:iCs w:val="1"/>
                <w:color w:val="auto"/>
              </w:rPr>
              <w:t>positions owned:</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F3F3F3"/>
          </w:tcPr>
          <w:p>
            <w:pPr>
              <w:ind w:left="260"/>
              <w:spacing w:after="0"/>
              <w:rPr>
                <w:sz w:val="20"/>
                <w:szCs w:val="20"/>
                <w:color w:val="auto"/>
              </w:rPr>
            </w:pPr>
            <w:r>
              <w:rPr>
                <w:rFonts w:ascii="Arial" w:cs="Arial" w:eastAsia="Arial" w:hAnsi="Arial"/>
                <w:sz w:val="17"/>
                <w:szCs w:val="17"/>
                <w:color w:val="auto"/>
              </w:rPr>
              <w:t>Corporate securities:</w:t>
            </w: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18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60" w:type="dxa"/>
            <w:vAlign w:val="bottom"/>
            <w:shd w:val="clear" w:color="auto" w:fill="F3F3F3"/>
          </w:tcPr>
          <w:p>
            <w:pPr>
              <w:spacing w:after="0"/>
              <w:rPr>
                <w:sz w:val="19"/>
                <w:szCs w:val="19"/>
                <w:color w:val="auto"/>
              </w:rPr>
            </w:pPr>
          </w:p>
        </w:tc>
        <w:tc>
          <w:tcPr>
            <w:tcW w:w="130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14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340"/>
              <w:spacing w:after="0"/>
              <w:rPr>
                <w:sz w:val="20"/>
                <w:szCs w:val="20"/>
                <w:color w:val="auto"/>
              </w:rPr>
            </w:pPr>
            <w:r>
              <w:rPr>
                <w:rFonts w:ascii="Arial" w:cs="Arial" w:eastAsia="Arial" w:hAnsi="Arial"/>
                <w:sz w:val="17"/>
                <w:szCs w:val="17"/>
                <w:color w:val="auto"/>
              </w:rPr>
              <w:t>Convertible securities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133,979</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133,979</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340"/>
              <w:spacing w:after="0"/>
              <w:rPr>
                <w:sz w:val="20"/>
                <w:szCs w:val="20"/>
                <w:color w:val="auto"/>
              </w:rPr>
            </w:pPr>
            <w:r>
              <w:rPr>
                <w:rFonts w:ascii="Arial" w:cs="Arial" w:eastAsia="Arial" w:hAnsi="Arial"/>
                <w:sz w:val="17"/>
                <w:szCs w:val="17"/>
                <w:color w:val="auto"/>
              </w:rPr>
              <w:t>Equity securities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3,718</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spacing w:after="0"/>
              <w:rPr>
                <w:sz w:val="20"/>
                <w:szCs w:val="20"/>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3,718</w:t>
            </w:r>
          </w:p>
        </w:tc>
        <w:tc>
          <w:tcPr>
            <w:tcW w:w="0" w:type="dxa"/>
            <w:vAlign w:val="bottom"/>
          </w:tcPr>
          <w:p>
            <w:pPr>
              <w:spacing w:after="0"/>
              <w:rPr>
                <w:sz w:val="1"/>
                <w:szCs w:val="1"/>
                <w:color w:val="auto"/>
              </w:rPr>
            </w:pPr>
          </w:p>
        </w:tc>
      </w:tr>
      <w:tr>
        <w:trPr>
          <w:trHeight w:val="227"/>
        </w:trPr>
        <w:tc>
          <w:tcPr>
            <w:tcW w:w="3600" w:type="dxa"/>
            <w:vAlign w:val="bottom"/>
          </w:tcPr>
          <w:p>
            <w:pPr>
              <w:ind w:left="340"/>
              <w:spacing w:after="0"/>
              <w:rPr>
                <w:sz w:val="20"/>
                <w:szCs w:val="20"/>
                <w:color w:val="auto"/>
              </w:rPr>
            </w:pPr>
            <w:r>
              <w:rPr>
                <w:rFonts w:ascii="Arial" w:cs="Arial" w:eastAsia="Arial" w:hAnsi="Arial"/>
                <w:sz w:val="17"/>
                <w:szCs w:val="17"/>
                <w:color w:val="auto"/>
              </w:rPr>
              <w:t>Fixed income securities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7,958</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260"/>
              <w:spacing w:after="0"/>
              <w:rPr>
                <w:sz w:val="20"/>
                <w:szCs w:val="20"/>
                <w:color w:val="auto"/>
              </w:rPr>
            </w:pPr>
            <w:r>
              <w:rPr>
                <w:rFonts w:ascii="Arial" w:cs="Arial" w:eastAsia="Arial" w:hAnsi="Arial"/>
                <w:sz w:val="17"/>
                <w:szCs w:val="17"/>
                <w:color w:val="auto"/>
              </w:rPr>
              <w:t>Municipal securities:</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spacing w:after="0"/>
              <w:rPr>
                <w:sz w:val="20"/>
                <w:szCs w:val="20"/>
                <w:color w:val="auto"/>
              </w:rPr>
            </w:pPr>
          </w:p>
        </w:tc>
        <w:tc>
          <w:tcPr>
            <w:tcW w:w="100" w:type="dxa"/>
            <w:vAlign w:val="bottom"/>
            <w:shd w:val="clear" w:color="auto" w:fill="F3F3F3"/>
          </w:tcPr>
          <w:p>
            <w:pPr>
              <w:spacing w:after="0"/>
              <w:rPr>
                <w:sz w:val="20"/>
                <w:szCs w:val="20"/>
                <w:color w:val="auto"/>
              </w:rPr>
            </w:pP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spacing w:after="0"/>
              <w:rPr>
                <w:sz w:val="20"/>
                <w:szCs w:val="20"/>
                <w:color w:val="auto"/>
              </w:rPr>
            </w:pP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180" w:type="dxa"/>
            <w:vAlign w:val="bottom"/>
            <w:shd w:val="clear" w:color="auto" w:fill="F3F3F3"/>
          </w:tcPr>
          <w:p>
            <w:pPr>
              <w:spacing w:after="0"/>
              <w:rPr>
                <w:sz w:val="20"/>
                <w:szCs w:val="20"/>
                <w:color w:val="auto"/>
              </w:rPr>
            </w:pPr>
          </w:p>
        </w:tc>
        <w:tc>
          <w:tcPr>
            <w:tcW w:w="10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300" w:type="dxa"/>
            <w:vAlign w:val="bottom"/>
            <w:shd w:val="clear" w:color="auto" w:fill="F3F3F3"/>
          </w:tcPr>
          <w:p>
            <w:pPr>
              <w:spacing w:after="0"/>
              <w:rPr>
                <w:sz w:val="20"/>
                <w:szCs w:val="20"/>
                <w:color w:val="auto"/>
              </w:rPr>
            </w:pPr>
          </w:p>
        </w:tc>
        <w:tc>
          <w:tcPr>
            <w:tcW w:w="100" w:type="dxa"/>
            <w:vAlign w:val="bottom"/>
            <w:shd w:val="clear" w:color="auto" w:fill="F3F3F3"/>
          </w:tcPr>
          <w:p>
            <w:pPr>
              <w:spacing w:after="0"/>
              <w:rPr>
                <w:sz w:val="20"/>
                <w:szCs w:val="20"/>
                <w:color w:val="auto"/>
              </w:rPr>
            </w:pP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340"/>
              <w:spacing w:after="0"/>
              <w:rPr>
                <w:sz w:val="20"/>
                <w:szCs w:val="20"/>
                <w:color w:val="auto"/>
              </w:rPr>
            </w:pPr>
            <w:r>
              <w:rPr>
                <w:rFonts w:ascii="Arial" w:cs="Arial" w:eastAsia="Arial" w:hAnsi="Arial"/>
                <w:sz w:val="17"/>
                <w:szCs w:val="17"/>
                <w:color w:val="auto"/>
              </w:rPr>
              <w:t>Taxable securities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8,494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8,494</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340"/>
              <w:spacing w:after="0"/>
              <w:rPr>
                <w:sz w:val="20"/>
                <w:szCs w:val="20"/>
                <w:color w:val="auto"/>
              </w:rPr>
            </w:pPr>
            <w:r>
              <w:rPr>
                <w:rFonts w:ascii="Arial" w:cs="Arial" w:eastAsia="Arial" w:hAnsi="Arial"/>
                <w:sz w:val="17"/>
                <w:szCs w:val="17"/>
                <w:color w:val="auto"/>
              </w:rPr>
              <w:t>Tax-exempt securities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107,805</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spacing w:after="0"/>
              <w:rPr>
                <w:sz w:val="20"/>
                <w:szCs w:val="20"/>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107,805</w:t>
            </w:r>
          </w:p>
        </w:tc>
        <w:tc>
          <w:tcPr>
            <w:tcW w:w="0" w:type="dxa"/>
            <w:vAlign w:val="bottom"/>
          </w:tcPr>
          <w:p>
            <w:pPr>
              <w:spacing w:after="0"/>
              <w:rPr>
                <w:sz w:val="1"/>
                <w:szCs w:val="1"/>
                <w:color w:val="auto"/>
              </w:rPr>
            </w:pPr>
          </w:p>
        </w:tc>
      </w:tr>
      <w:tr>
        <w:trPr>
          <w:trHeight w:val="227"/>
        </w:trPr>
        <w:tc>
          <w:tcPr>
            <w:tcW w:w="3600" w:type="dxa"/>
            <w:vAlign w:val="bottom"/>
          </w:tcPr>
          <w:p>
            <w:pPr>
              <w:ind w:left="340"/>
              <w:spacing w:after="0"/>
              <w:rPr>
                <w:sz w:val="20"/>
                <w:szCs w:val="20"/>
                <w:color w:val="auto"/>
              </w:rPr>
            </w:pPr>
            <w:r>
              <w:rPr>
                <w:rFonts w:ascii="Arial" w:cs="Arial" w:eastAsia="Arial" w:hAnsi="Arial"/>
                <w:sz w:val="17"/>
                <w:szCs w:val="17"/>
                <w:color w:val="auto"/>
              </w:rPr>
              <w:t>Short-term securities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101,589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101,589</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260"/>
              <w:spacing w:after="0"/>
              <w:rPr>
                <w:sz w:val="20"/>
                <w:szCs w:val="20"/>
                <w:color w:val="auto"/>
              </w:rPr>
            </w:pPr>
            <w:r>
              <w:rPr>
                <w:rFonts w:ascii="Arial" w:cs="Arial" w:eastAsia="Arial" w:hAnsi="Arial"/>
                <w:sz w:val="17"/>
                <w:szCs w:val="17"/>
                <w:color w:val="auto"/>
              </w:rPr>
              <w:t>Asset-backed securities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67,530</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spacing w:after="0"/>
              <w:rPr>
                <w:sz w:val="20"/>
                <w:szCs w:val="20"/>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67,530</w:t>
            </w:r>
          </w:p>
        </w:tc>
        <w:tc>
          <w:tcPr>
            <w:tcW w:w="0" w:type="dxa"/>
            <w:vAlign w:val="bottom"/>
          </w:tcPr>
          <w:p>
            <w:pPr>
              <w:spacing w:after="0"/>
              <w:rPr>
                <w:sz w:val="1"/>
                <w:szCs w:val="1"/>
                <w:color w:val="auto"/>
              </w:rPr>
            </w:pPr>
          </w:p>
        </w:tc>
      </w:tr>
      <w:tr>
        <w:trPr>
          <w:trHeight w:val="227"/>
        </w:trPr>
        <w:tc>
          <w:tcPr>
            <w:tcW w:w="3600" w:type="dxa"/>
            <w:vAlign w:val="bottom"/>
          </w:tcPr>
          <w:p>
            <w:pPr>
              <w:ind w:left="260"/>
              <w:spacing w:after="0"/>
              <w:rPr>
                <w:sz w:val="20"/>
                <w:szCs w:val="20"/>
                <w:color w:val="auto"/>
              </w:rPr>
            </w:pPr>
            <w:r>
              <w:rPr>
                <w:rFonts w:ascii="Arial" w:cs="Arial" w:eastAsia="Arial" w:hAnsi="Arial"/>
                <w:sz w:val="17"/>
                <w:szCs w:val="17"/>
                <w:color w:val="auto"/>
              </w:rPr>
              <w:t>U.S. government agency securities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43,948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43,948</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260"/>
              <w:spacing w:after="0"/>
              <w:rPr>
                <w:sz w:val="20"/>
                <w:szCs w:val="20"/>
                <w:color w:val="auto"/>
              </w:rPr>
            </w:pPr>
            <w:r>
              <w:rPr>
                <w:rFonts w:ascii="Arial" w:cs="Arial" w:eastAsia="Arial" w:hAnsi="Arial"/>
                <w:sz w:val="17"/>
                <w:szCs w:val="17"/>
                <w:color w:val="auto"/>
              </w:rPr>
              <w:t>U.S. government securities</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5,161</w:t>
            </w:r>
          </w:p>
        </w:tc>
        <w:tc>
          <w:tcPr>
            <w:tcW w:w="100" w:type="dxa"/>
            <w:vAlign w:val="bottom"/>
            <w:shd w:val="clear" w:color="auto" w:fill="F3F3F3"/>
          </w:tcPr>
          <w:p>
            <w:pPr>
              <w:spacing w:after="0"/>
              <w:rPr>
                <w:sz w:val="20"/>
                <w:szCs w:val="20"/>
                <w:color w:val="auto"/>
              </w:rPr>
            </w:pP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F3F3F3"/>
          </w:tcPr>
          <w:p>
            <w:pPr>
              <w:spacing w:after="0"/>
              <w:rPr>
                <w:sz w:val="20"/>
                <w:szCs w:val="20"/>
                <w:color w:val="auto"/>
              </w:rPr>
            </w:pP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spacing w:after="0"/>
              <w:rPr>
                <w:sz w:val="20"/>
                <w:szCs w:val="20"/>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5,161</w:t>
            </w:r>
          </w:p>
        </w:tc>
        <w:tc>
          <w:tcPr>
            <w:tcW w:w="0" w:type="dxa"/>
            <w:vAlign w:val="bottom"/>
          </w:tcPr>
          <w:p>
            <w:pPr>
              <w:spacing w:after="0"/>
              <w:rPr>
                <w:sz w:val="1"/>
                <w:szCs w:val="1"/>
                <w:color w:val="auto"/>
              </w:rPr>
            </w:pPr>
          </w:p>
        </w:tc>
      </w:tr>
      <w:tr>
        <w:trPr>
          <w:trHeight w:val="227"/>
        </w:trPr>
        <w:tc>
          <w:tcPr>
            <w:tcW w:w="3600" w:type="dxa"/>
            <w:vAlign w:val="bottom"/>
          </w:tcPr>
          <w:p>
            <w:pPr>
              <w:ind w:left="260"/>
              <w:spacing w:after="0"/>
              <w:rPr>
                <w:sz w:val="20"/>
                <w:szCs w:val="20"/>
                <w:color w:val="auto"/>
              </w:rPr>
            </w:pPr>
            <w:r>
              <w:rPr>
                <w:rFonts w:ascii="Arial" w:cs="Arial" w:eastAsia="Arial" w:hAnsi="Arial"/>
                <w:sz w:val="17"/>
                <w:szCs w:val="17"/>
                <w:color w:val="auto"/>
              </w:rPr>
              <w:t>Derivative contracts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5,397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4,488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ind w:left="740"/>
              <w:spacing w:after="0"/>
              <w:rPr>
                <w:sz w:val="20"/>
                <w:szCs w:val="20"/>
                <w:color w:val="auto"/>
              </w:rPr>
            </w:pPr>
            <w:r>
              <w:rPr>
                <w:rFonts w:ascii="Arial" w:cs="Arial" w:eastAsia="Arial" w:hAnsi="Arial"/>
                <w:sz w:val="17"/>
                <w:szCs w:val="17"/>
                <w:color w:val="auto"/>
              </w:rPr>
              <w:t>(4,742)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5,143</w:t>
            </w:r>
          </w:p>
        </w:tc>
        <w:tc>
          <w:tcPr>
            <w:tcW w:w="0" w:type="dxa"/>
            <w:vAlign w:val="bottom"/>
          </w:tcPr>
          <w:p>
            <w:pPr>
              <w:spacing w:after="0"/>
              <w:rPr>
                <w:sz w:val="1"/>
                <w:szCs w:val="1"/>
                <w:color w:val="auto"/>
              </w:rPr>
            </w:pPr>
          </w:p>
        </w:tc>
      </w:tr>
      <w:tr>
        <w:trPr>
          <w:trHeight w:val="149"/>
        </w:trPr>
        <w:tc>
          <w:tcPr>
            <w:tcW w:w="3600" w:type="dxa"/>
            <w:vAlign w:val="bottom"/>
            <w:tcBorders>
              <w:top w:val="single" w:sz="8" w:color="F3F3F3"/>
            </w:tcBorders>
            <w:shd w:val="clear" w:color="auto" w:fill="F3F3F3"/>
          </w:tcPr>
          <w:p>
            <w:pPr>
              <w:ind w:left="140"/>
              <w:spacing w:after="0" w:line="150" w:lineRule="exact"/>
              <w:rPr>
                <w:sz w:val="20"/>
                <w:szCs w:val="20"/>
                <w:color w:val="auto"/>
              </w:rPr>
            </w:pPr>
            <w:r>
              <w:rPr>
                <w:rFonts w:ascii="Arial" w:cs="Arial" w:eastAsia="Arial" w:hAnsi="Arial"/>
                <w:sz w:val="17"/>
                <w:szCs w:val="17"/>
                <w:b w:val="1"/>
                <w:bCs w:val="1"/>
                <w:color w:val="auto"/>
              </w:rPr>
              <w:t>Total financial instruments and other</w:t>
            </w:r>
          </w:p>
        </w:tc>
        <w:tc>
          <w:tcPr>
            <w:tcW w:w="280" w:type="dxa"/>
            <w:vAlign w:val="bottom"/>
            <w:tcBorders>
              <w:top w:val="single" w:sz="8" w:color="auto"/>
            </w:tcBorders>
            <w:shd w:val="clear" w:color="auto" w:fill="F3F3F3"/>
          </w:tcPr>
          <w:p>
            <w:pPr>
              <w:spacing w:after="0"/>
              <w:rPr>
                <w:sz w:val="12"/>
                <w:szCs w:val="12"/>
                <w:color w:val="auto"/>
              </w:rPr>
            </w:pPr>
          </w:p>
        </w:tc>
        <w:tc>
          <w:tcPr>
            <w:tcW w:w="116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7"/>
                <w:szCs w:val="17"/>
                <w:color w:val="auto"/>
              </w:rPr>
              <w:t>5,161</w:t>
            </w:r>
          </w:p>
        </w:tc>
        <w:tc>
          <w:tcPr>
            <w:tcW w:w="100" w:type="dxa"/>
            <w:vAlign w:val="bottom"/>
            <w:tcBorders>
              <w:top w:val="single" w:sz="8" w:color="F3F3F3"/>
            </w:tcBorders>
            <w:shd w:val="clear" w:color="auto" w:fill="F3F3F3"/>
          </w:tcPr>
          <w:p>
            <w:pPr>
              <w:spacing w:after="0"/>
              <w:rPr>
                <w:sz w:val="12"/>
                <w:szCs w:val="12"/>
                <w:color w:val="auto"/>
              </w:rPr>
            </w:pPr>
          </w:p>
        </w:tc>
        <w:tc>
          <w:tcPr>
            <w:tcW w:w="280" w:type="dxa"/>
            <w:vAlign w:val="bottom"/>
            <w:tcBorders>
              <w:top w:val="single" w:sz="8" w:color="auto"/>
            </w:tcBorders>
            <w:shd w:val="clear" w:color="auto" w:fill="F3F3F3"/>
          </w:tcPr>
          <w:p>
            <w:pPr>
              <w:spacing w:after="0"/>
              <w:rPr>
                <w:sz w:val="12"/>
                <w:szCs w:val="12"/>
                <w:color w:val="auto"/>
              </w:rPr>
            </w:pPr>
          </w:p>
        </w:tc>
        <w:tc>
          <w:tcPr>
            <w:tcW w:w="116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7"/>
                <w:szCs w:val="17"/>
                <w:color w:val="auto"/>
              </w:rPr>
              <w:t>480,418</w:t>
            </w:r>
          </w:p>
        </w:tc>
        <w:tc>
          <w:tcPr>
            <w:tcW w:w="100" w:type="dxa"/>
            <w:vAlign w:val="bottom"/>
            <w:tcBorders>
              <w:top w:val="single" w:sz="8" w:color="F3F3F3"/>
            </w:tcBorders>
            <w:shd w:val="clear" w:color="auto" w:fill="F3F3F3"/>
          </w:tcPr>
          <w:p>
            <w:pPr>
              <w:spacing w:after="0"/>
              <w:rPr>
                <w:sz w:val="12"/>
                <w:szCs w:val="12"/>
                <w:color w:val="auto"/>
              </w:rPr>
            </w:pPr>
          </w:p>
        </w:tc>
        <w:tc>
          <w:tcPr>
            <w:tcW w:w="260" w:type="dxa"/>
            <w:vAlign w:val="bottom"/>
            <w:tcBorders>
              <w:top w:val="single" w:sz="8" w:color="auto"/>
            </w:tcBorders>
            <w:shd w:val="clear" w:color="auto" w:fill="F3F3F3"/>
          </w:tcPr>
          <w:p>
            <w:pPr>
              <w:spacing w:after="0"/>
              <w:rPr>
                <w:sz w:val="12"/>
                <w:szCs w:val="12"/>
                <w:color w:val="auto"/>
              </w:rPr>
            </w:pPr>
          </w:p>
        </w:tc>
        <w:tc>
          <w:tcPr>
            <w:tcW w:w="118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7"/>
                <w:szCs w:val="17"/>
                <w:color w:val="auto"/>
              </w:rPr>
              <w:t>4,488</w:t>
            </w:r>
          </w:p>
        </w:tc>
        <w:tc>
          <w:tcPr>
            <w:tcW w:w="100" w:type="dxa"/>
            <w:vAlign w:val="bottom"/>
            <w:tcBorders>
              <w:top w:val="single" w:sz="8" w:color="F3F3F3"/>
            </w:tcBorders>
            <w:shd w:val="clear" w:color="auto" w:fill="F3F3F3"/>
          </w:tcPr>
          <w:p>
            <w:pPr>
              <w:spacing w:after="0"/>
              <w:rPr>
                <w:sz w:val="12"/>
                <w:szCs w:val="12"/>
                <w:color w:val="auto"/>
              </w:rPr>
            </w:pPr>
          </w:p>
        </w:tc>
        <w:tc>
          <w:tcPr>
            <w:tcW w:w="160" w:type="dxa"/>
            <w:vAlign w:val="bottom"/>
            <w:tcBorders>
              <w:top w:val="single" w:sz="8" w:color="auto"/>
            </w:tcBorders>
            <w:shd w:val="clear" w:color="auto" w:fill="F3F3F3"/>
          </w:tcPr>
          <w:p>
            <w:pPr>
              <w:spacing w:after="0"/>
              <w:rPr>
                <w:sz w:val="12"/>
                <w:szCs w:val="12"/>
                <w:color w:val="auto"/>
              </w:rPr>
            </w:pPr>
          </w:p>
        </w:tc>
        <w:tc>
          <w:tcPr>
            <w:tcW w:w="1300" w:type="dxa"/>
            <w:vAlign w:val="bottom"/>
            <w:tcBorders>
              <w:top w:val="single" w:sz="8" w:color="auto"/>
            </w:tcBorders>
            <w:vMerge w:val="restart"/>
            <w:shd w:val="clear" w:color="auto" w:fill="F3F3F3"/>
          </w:tcPr>
          <w:p>
            <w:pPr>
              <w:ind w:left="740"/>
              <w:spacing w:after="0"/>
              <w:rPr>
                <w:sz w:val="20"/>
                <w:szCs w:val="20"/>
                <w:color w:val="auto"/>
              </w:rPr>
            </w:pPr>
            <w:r>
              <w:rPr>
                <w:rFonts w:ascii="Arial" w:cs="Arial" w:eastAsia="Arial" w:hAnsi="Arial"/>
                <w:sz w:val="17"/>
                <w:szCs w:val="17"/>
                <w:color w:val="auto"/>
              </w:rPr>
              <w:t>(4,742)</w:t>
            </w:r>
          </w:p>
        </w:tc>
        <w:tc>
          <w:tcPr>
            <w:tcW w:w="100" w:type="dxa"/>
            <w:vAlign w:val="bottom"/>
            <w:tcBorders>
              <w:top w:val="single" w:sz="8" w:color="F3F3F3"/>
            </w:tcBorders>
            <w:shd w:val="clear" w:color="auto" w:fill="F3F3F3"/>
          </w:tcPr>
          <w:p>
            <w:pPr>
              <w:spacing w:after="0"/>
              <w:rPr>
                <w:sz w:val="12"/>
                <w:szCs w:val="12"/>
                <w:color w:val="auto"/>
              </w:rPr>
            </w:pPr>
          </w:p>
        </w:tc>
        <w:tc>
          <w:tcPr>
            <w:tcW w:w="320" w:type="dxa"/>
            <w:vAlign w:val="bottom"/>
            <w:tcBorders>
              <w:top w:val="single" w:sz="8" w:color="auto"/>
            </w:tcBorders>
            <w:shd w:val="clear" w:color="auto" w:fill="F3F3F3"/>
          </w:tcPr>
          <w:p>
            <w:pPr>
              <w:spacing w:after="0"/>
              <w:rPr>
                <w:sz w:val="12"/>
                <w:szCs w:val="12"/>
                <w:color w:val="auto"/>
              </w:rPr>
            </w:pPr>
          </w:p>
        </w:tc>
        <w:tc>
          <w:tcPr>
            <w:tcW w:w="1140" w:type="dxa"/>
            <w:vAlign w:val="bottom"/>
            <w:tcBorders>
              <w:top w:val="single" w:sz="8" w:color="auto"/>
            </w:tcBorders>
            <w:vMerge w:val="restart"/>
            <w:shd w:val="clear" w:color="auto" w:fill="F3F3F3"/>
          </w:tcPr>
          <w:p>
            <w:pPr>
              <w:jc w:val="right"/>
              <w:spacing w:after="0"/>
              <w:rPr>
                <w:sz w:val="20"/>
                <w:szCs w:val="20"/>
                <w:color w:val="auto"/>
              </w:rPr>
            </w:pPr>
            <w:r>
              <w:rPr>
                <w:rFonts w:ascii="Arial" w:cs="Arial" w:eastAsia="Arial" w:hAnsi="Arial"/>
                <w:sz w:val="17"/>
                <w:szCs w:val="17"/>
                <w:color w:val="auto"/>
              </w:rPr>
              <w:t>485,325</w:t>
            </w:r>
          </w:p>
        </w:tc>
        <w:tc>
          <w:tcPr>
            <w:tcW w:w="0" w:type="dxa"/>
            <w:vAlign w:val="bottom"/>
          </w:tcPr>
          <w:p>
            <w:pPr>
              <w:spacing w:after="0"/>
              <w:rPr>
                <w:sz w:val="1"/>
                <w:szCs w:val="1"/>
                <w:color w:val="auto"/>
              </w:rPr>
            </w:pPr>
          </w:p>
        </w:tc>
      </w:tr>
      <w:tr>
        <w:trPr>
          <w:trHeight w:val="225"/>
        </w:trPr>
        <w:tc>
          <w:tcPr>
            <w:tcW w:w="3600" w:type="dxa"/>
            <w:vAlign w:val="bottom"/>
            <w:shd w:val="clear" w:color="auto" w:fill="F3F3F3"/>
          </w:tcPr>
          <w:p>
            <w:pPr>
              <w:ind w:left="220"/>
              <w:spacing w:after="0"/>
              <w:rPr>
                <w:sz w:val="20"/>
                <w:szCs w:val="20"/>
                <w:color w:val="auto"/>
              </w:rPr>
            </w:pPr>
            <w:r>
              <w:rPr>
                <w:rFonts w:ascii="Arial" w:cs="Arial" w:eastAsia="Arial" w:hAnsi="Arial"/>
                <w:sz w:val="17"/>
                <w:szCs w:val="17"/>
                <w:b w:val="1"/>
                <w:bCs w:val="1"/>
                <w:color w:val="auto"/>
              </w:rPr>
              <w:t>inventory positions owned</w:t>
            </w:r>
          </w:p>
        </w:tc>
        <w:tc>
          <w:tcPr>
            <w:tcW w:w="280" w:type="dxa"/>
            <w:vAlign w:val="bottom"/>
            <w:shd w:val="clear" w:color="auto" w:fill="F3F3F3"/>
          </w:tcPr>
          <w:p>
            <w:pPr>
              <w:spacing w:after="0"/>
              <w:rPr>
                <w:sz w:val="19"/>
                <w:szCs w:val="19"/>
                <w:color w:val="auto"/>
              </w:rPr>
            </w:pPr>
          </w:p>
        </w:tc>
        <w:tc>
          <w:tcPr>
            <w:tcW w:w="1160" w:type="dxa"/>
            <w:vAlign w:val="bottom"/>
            <w:vMerge w:val="continue"/>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160" w:type="dxa"/>
            <w:vAlign w:val="bottom"/>
            <w:vMerge w:val="continue"/>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180" w:type="dxa"/>
            <w:vAlign w:val="bottom"/>
            <w:vMerge w:val="continue"/>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60" w:type="dxa"/>
            <w:vAlign w:val="bottom"/>
            <w:shd w:val="clear" w:color="auto" w:fill="F3F3F3"/>
          </w:tcPr>
          <w:p>
            <w:pPr>
              <w:spacing w:after="0"/>
              <w:rPr>
                <w:sz w:val="19"/>
                <w:szCs w:val="19"/>
                <w:color w:val="auto"/>
              </w:rPr>
            </w:pPr>
          </w:p>
        </w:tc>
        <w:tc>
          <w:tcPr>
            <w:tcW w:w="1300" w:type="dxa"/>
            <w:vAlign w:val="bottom"/>
            <w:vMerge w:val="continue"/>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140" w:type="dxa"/>
            <w:vAlign w:val="bottom"/>
            <w:vMerge w:val="continue"/>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F3F3F3"/>
          </w:tcPr>
          <w:p>
            <w:pPr>
              <w:ind w:left="140"/>
              <w:spacing w:after="0"/>
              <w:rPr>
                <w:sz w:val="20"/>
                <w:szCs w:val="20"/>
                <w:color w:val="auto"/>
              </w:rPr>
            </w:pPr>
            <w:r>
              <w:rPr>
                <w:rFonts w:ascii="Arial" w:cs="Arial" w:eastAsia="Arial" w:hAnsi="Arial"/>
                <w:sz w:val="17"/>
                <w:szCs w:val="17"/>
                <w:color w:val="auto"/>
              </w:rPr>
              <w:t>Cash equivalents</w:t>
            </w: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306,942</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F3F3F3"/>
          </w:tcPr>
          <w:p>
            <w:pPr>
              <w:spacing w:after="0"/>
              <w:rPr>
                <w:sz w:val="19"/>
                <w:szCs w:val="19"/>
                <w:color w:val="auto"/>
              </w:rPr>
            </w:pP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spacing w:after="0"/>
              <w:rPr>
                <w:sz w:val="19"/>
                <w:szCs w:val="19"/>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19"/>
                <w:szCs w:val="19"/>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306,942</w:t>
            </w:r>
          </w:p>
        </w:tc>
        <w:tc>
          <w:tcPr>
            <w:tcW w:w="0" w:type="dxa"/>
            <w:vAlign w:val="bottom"/>
          </w:tcPr>
          <w:p>
            <w:pPr>
              <w:spacing w:after="0"/>
              <w:rPr>
                <w:sz w:val="1"/>
                <w:szCs w:val="1"/>
                <w:color w:val="auto"/>
              </w:rPr>
            </w:pPr>
          </w:p>
        </w:tc>
      </w:tr>
      <w:tr>
        <w:trPr>
          <w:trHeight w:val="227"/>
        </w:trPr>
        <w:tc>
          <w:tcPr>
            <w:tcW w:w="3600" w:type="dxa"/>
            <w:vAlign w:val="bottom"/>
          </w:tcPr>
          <w:p>
            <w:pPr>
              <w:ind w:left="140"/>
              <w:spacing w:after="0"/>
              <w:rPr>
                <w:sz w:val="20"/>
                <w:szCs w:val="20"/>
                <w:color w:val="auto"/>
              </w:rPr>
            </w:pPr>
            <w:r>
              <w:rPr>
                <w:rFonts w:ascii="Arial" w:cs="Arial" w:eastAsia="Arial" w:hAnsi="Arial"/>
                <w:sz w:val="17"/>
                <w:szCs w:val="17"/>
                <w:color w:val="auto"/>
              </w:rPr>
              <w:t>Investments at fair value (2)</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80,865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212,376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293,241</w:t>
            </w:r>
          </w:p>
        </w:tc>
        <w:tc>
          <w:tcPr>
            <w:tcW w:w="0" w:type="dxa"/>
            <w:vAlign w:val="bottom"/>
          </w:tcPr>
          <w:p>
            <w:pPr>
              <w:spacing w:after="0"/>
              <w:rPr>
                <w:sz w:val="1"/>
                <w:szCs w:val="1"/>
                <w:color w:val="auto"/>
              </w:rPr>
            </w:pPr>
          </w:p>
        </w:tc>
      </w:tr>
      <w:tr>
        <w:trPr>
          <w:trHeight w:val="248"/>
        </w:trPr>
        <w:tc>
          <w:tcPr>
            <w:tcW w:w="3600" w:type="dxa"/>
            <w:vAlign w:val="bottom"/>
            <w:tcBorders>
              <w:top w:val="single" w:sz="8" w:color="F3F3F3"/>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tcBorders>
              <w:top w:val="single" w:sz="8" w:color="auto"/>
              <w:bottom w:val="single" w:sz="8" w:color="auto"/>
            </w:tcBorders>
            <w:shd w:val="clear" w:color="auto" w:fill="F3F3F3"/>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392,968</w:t>
            </w:r>
          </w:p>
        </w:tc>
        <w:tc>
          <w:tcPr>
            <w:tcW w:w="100" w:type="dxa"/>
            <w:vAlign w:val="bottom"/>
            <w:tcBorders>
              <w:top w:val="single" w:sz="8" w:color="F3F3F3"/>
              <w:bottom w:val="single" w:sz="8" w:color="F3F3F3"/>
            </w:tcBorders>
            <w:shd w:val="clear" w:color="auto" w:fill="F3F3F3"/>
          </w:tcPr>
          <w:p>
            <w:pPr>
              <w:spacing w:after="0"/>
              <w:rPr>
                <w:sz w:val="21"/>
                <w:szCs w:val="21"/>
                <w:color w:val="auto"/>
              </w:rPr>
            </w:pPr>
          </w:p>
        </w:tc>
        <w:tc>
          <w:tcPr>
            <w:tcW w:w="280" w:type="dxa"/>
            <w:vAlign w:val="bottom"/>
            <w:tcBorders>
              <w:top w:val="single" w:sz="8" w:color="auto"/>
              <w:bottom w:val="single" w:sz="8" w:color="auto"/>
            </w:tcBorders>
            <w:shd w:val="clear" w:color="auto" w:fill="F3F3F3"/>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480,418</w:t>
            </w:r>
          </w:p>
        </w:tc>
        <w:tc>
          <w:tcPr>
            <w:tcW w:w="100" w:type="dxa"/>
            <w:vAlign w:val="bottom"/>
            <w:tcBorders>
              <w:top w:val="single" w:sz="8" w:color="F3F3F3"/>
              <w:bottom w:val="single" w:sz="8" w:color="F3F3F3"/>
            </w:tcBorders>
            <w:shd w:val="clear" w:color="auto" w:fill="F3F3F3"/>
          </w:tcPr>
          <w:p>
            <w:pPr>
              <w:spacing w:after="0"/>
              <w:rPr>
                <w:sz w:val="21"/>
                <w:szCs w:val="21"/>
                <w:color w:val="auto"/>
              </w:rPr>
            </w:pPr>
          </w:p>
        </w:tc>
        <w:tc>
          <w:tcPr>
            <w:tcW w:w="260" w:type="dxa"/>
            <w:vAlign w:val="bottom"/>
            <w:tcBorders>
              <w:top w:val="single" w:sz="8" w:color="auto"/>
              <w:bottom w:val="single" w:sz="8" w:color="auto"/>
            </w:tcBorders>
            <w:shd w:val="clear" w:color="auto" w:fill="F3F3F3"/>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216,864</w:t>
            </w:r>
          </w:p>
        </w:tc>
        <w:tc>
          <w:tcPr>
            <w:tcW w:w="100" w:type="dxa"/>
            <w:vAlign w:val="bottom"/>
            <w:tcBorders>
              <w:top w:val="single" w:sz="8" w:color="F3F3F3"/>
              <w:bottom w:val="single" w:sz="8" w:color="F3F3F3"/>
            </w:tcBorders>
            <w:shd w:val="clear" w:color="auto" w:fill="F3F3F3"/>
          </w:tcPr>
          <w:p>
            <w:pPr>
              <w:spacing w:after="0"/>
              <w:rPr>
                <w:sz w:val="21"/>
                <w:szCs w:val="21"/>
                <w:color w:val="auto"/>
              </w:rPr>
            </w:pPr>
          </w:p>
        </w:tc>
        <w:tc>
          <w:tcPr>
            <w:tcW w:w="16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shd w:val="clear" w:color="auto" w:fill="F3F3F3"/>
          </w:tcPr>
          <w:p>
            <w:pPr>
              <w:ind w:left="740"/>
              <w:spacing w:after="0"/>
              <w:rPr>
                <w:sz w:val="20"/>
                <w:szCs w:val="20"/>
                <w:color w:val="auto"/>
              </w:rPr>
            </w:pPr>
            <w:r>
              <w:rPr>
                <w:rFonts w:ascii="Arial" w:cs="Arial" w:eastAsia="Arial" w:hAnsi="Arial"/>
                <w:sz w:val="17"/>
                <w:szCs w:val="17"/>
                <w:color w:val="auto"/>
              </w:rPr>
              <w:t>(4,742)</w:t>
            </w:r>
          </w:p>
        </w:tc>
        <w:tc>
          <w:tcPr>
            <w:tcW w:w="100" w:type="dxa"/>
            <w:vAlign w:val="bottom"/>
            <w:tcBorders>
              <w:top w:val="single" w:sz="8" w:color="F3F3F3"/>
              <w:bottom w:val="single" w:sz="8" w:color="F3F3F3"/>
            </w:tcBorders>
            <w:shd w:val="clear" w:color="auto" w:fill="F3F3F3"/>
          </w:tcPr>
          <w:p>
            <w:pPr>
              <w:spacing w:after="0"/>
              <w:rPr>
                <w:sz w:val="21"/>
                <w:szCs w:val="21"/>
                <w:color w:val="auto"/>
              </w:rPr>
            </w:pPr>
          </w:p>
        </w:tc>
        <w:tc>
          <w:tcPr>
            <w:tcW w:w="320" w:type="dxa"/>
            <w:vAlign w:val="bottom"/>
            <w:tcBorders>
              <w:top w:val="single" w:sz="8" w:color="auto"/>
              <w:bottom w:val="single" w:sz="8" w:color="auto"/>
            </w:tcBorders>
            <w:shd w:val="clear" w:color="auto" w:fill="F3F3F3"/>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1,085,508</w:t>
            </w:r>
          </w:p>
        </w:tc>
        <w:tc>
          <w:tcPr>
            <w:tcW w:w="0" w:type="dxa"/>
            <w:vAlign w:val="bottom"/>
          </w:tcPr>
          <w:p>
            <w:pPr>
              <w:spacing w:after="0"/>
              <w:rPr>
                <w:sz w:val="1"/>
                <w:szCs w:val="1"/>
                <w:color w:val="auto"/>
              </w:rPr>
            </w:pPr>
          </w:p>
        </w:tc>
      </w:tr>
      <w:tr>
        <w:trPr>
          <w:trHeight w:val="20"/>
        </w:trPr>
        <w:tc>
          <w:tcPr>
            <w:tcW w:w="3600" w:type="dxa"/>
            <w:vAlign w:val="bottom"/>
            <w:tcBorders>
              <w:top w:val="single" w:sz="8" w:color="F3F3F3"/>
            </w:tcBorders>
          </w:tcPr>
          <w:p>
            <w:pPr>
              <w:spacing w:after="0" w:line="20" w:lineRule="exact"/>
              <w:rPr>
                <w:sz w:val="1"/>
                <w:szCs w:val="1"/>
                <w:color w:val="auto"/>
              </w:rPr>
            </w:pPr>
          </w:p>
        </w:tc>
        <w:tc>
          <w:tcPr>
            <w:tcW w:w="280" w:type="dxa"/>
            <w:vAlign w:val="bottom"/>
            <w:tcBorders>
              <w:top w:val="single" w:sz="8" w:color="F3F3F3"/>
              <w:bottom w:val="single" w:sz="8" w:color="auto"/>
            </w:tcBorders>
          </w:tcPr>
          <w:p>
            <w:pPr>
              <w:spacing w:after="0" w:line="20" w:lineRule="exact"/>
              <w:rPr>
                <w:sz w:val="1"/>
                <w:szCs w:val="1"/>
                <w:color w:val="auto"/>
              </w:rPr>
            </w:pPr>
          </w:p>
        </w:tc>
        <w:tc>
          <w:tcPr>
            <w:tcW w:w="116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280" w:type="dxa"/>
            <w:vAlign w:val="bottom"/>
            <w:tcBorders>
              <w:top w:val="single" w:sz="8" w:color="F3F3F3"/>
              <w:bottom w:val="single" w:sz="8" w:color="auto"/>
            </w:tcBorders>
          </w:tcPr>
          <w:p>
            <w:pPr>
              <w:spacing w:after="0" w:line="20" w:lineRule="exact"/>
              <w:rPr>
                <w:sz w:val="1"/>
                <w:szCs w:val="1"/>
                <w:color w:val="auto"/>
              </w:rPr>
            </w:pPr>
          </w:p>
        </w:tc>
        <w:tc>
          <w:tcPr>
            <w:tcW w:w="116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260" w:type="dxa"/>
            <w:vAlign w:val="bottom"/>
            <w:tcBorders>
              <w:top w:val="single" w:sz="8" w:color="F3F3F3"/>
              <w:bottom w:val="single" w:sz="8" w:color="auto"/>
            </w:tcBorders>
          </w:tcPr>
          <w:p>
            <w:pPr>
              <w:spacing w:after="0" w:line="20" w:lineRule="exact"/>
              <w:rPr>
                <w:sz w:val="1"/>
                <w:szCs w:val="1"/>
                <w:color w:val="auto"/>
              </w:rPr>
            </w:pPr>
          </w:p>
        </w:tc>
        <w:tc>
          <w:tcPr>
            <w:tcW w:w="118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60" w:type="dxa"/>
            <w:vAlign w:val="bottom"/>
            <w:tcBorders>
              <w:top w:val="single" w:sz="8" w:color="F3F3F3"/>
              <w:bottom w:val="single" w:sz="8" w:color="auto"/>
            </w:tcBorders>
          </w:tcPr>
          <w:p>
            <w:pPr>
              <w:spacing w:after="0" w:line="20" w:lineRule="exact"/>
              <w:rPr>
                <w:sz w:val="1"/>
                <w:szCs w:val="1"/>
                <w:color w:val="auto"/>
              </w:rPr>
            </w:pPr>
          </w:p>
        </w:tc>
        <w:tc>
          <w:tcPr>
            <w:tcW w:w="130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320" w:type="dxa"/>
            <w:vAlign w:val="bottom"/>
            <w:tcBorders>
              <w:top w:val="single" w:sz="8" w:color="F3F3F3"/>
              <w:bottom w:val="single" w:sz="8" w:color="auto"/>
            </w:tcBorders>
          </w:tcPr>
          <w:p>
            <w:pPr>
              <w:spacing w:after="0" w:line="20" w:lineRule="exact"/>
              <w:rPr>
                <w:sz w:val="1"/>
                <w:szCs w:val="1"/>
                <w:color w:val="auto"/>
              </w:rPr>
            </w:pPr>
          </w:p>
        </w:tc>
        <w:tc>
          <w:tcPr>
            <w:tcW w:w="1140" w:type="dxa"/>
            <w:vAlign w:val="bottom"/>
            <w:tcBorders>
              <w:top w:val="single" w:sz="8" w:color="F3F3F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Liabilities</w:t>
            </w: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18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60" w:type="dxa"/>
            <w:vAlign w:val="bottom"/>
            <w:shd w:val="clear" w:color="auto" w:fill="F3F3F3"/>
          </w:tcPr>
          <w:p>
            <w:pPr>
              <w:spacing w:after="0"/>
              <w:rPr>
                <w:sz w:val="19"/>
                <w:szCs w:val="19"/>
                <w:color w:val="auto"/>
              </w:rPr>
            </w:pPr>
          </w:p>
        </w:tc>
        <w:tc>
          <w:tcPr>
            <w:tcW w:w="130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14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40"/>
              <w:spacing w:after="0" w:line="167" w:lineRule="exact"/>
              <w:rPr>
                <w:sz w:val="20"/>
                <w:szCs w:val="20"/>
                <w:color w:val="auto"/>
              </w:rPr>
            </w:pPr>
            <w:r>
              <w:rPr>
                <w:rFonts w:ascii="Arial" w:cs="Arial" w:eastAsia="Arial" w:hAnsi="Arial"/>
                <w:sz w:val="17"/>
                <w:szCs w:val="17"/>
                <w:b w:val="1"/>
                <w:bCs w:val="1"/>
                <w:i w:val="1"/>
                <w:iCs w:val="1"/>
                <w:color w:val="auto"/>
              </w:rPr>
              <w:t>Financial instruments and other inventory</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220"/>
              <w:spacing w:after="0"/>
              <w:rPr>
                <w:sz w:val="20"/>
                <w:szCs w:val="20"/>
                <w:color w:val="auto"/>
              </w:rPr>
            </w:pPr>
            <w:r>
              <w:rPr>
                <w:rFonts w:ascii="Arial" w:cs="Arial" w:eastAsia="Arial" w:hAnsi="Arial"/>
                <w:sz w:val="17"/>
                <w:szCs w:val="17"/>
                <w:b w:val="1"/>
                <w:bCs w:val="1"/>
                <w:i w:val="1"/>
                <w:iCs w:val="1"/>
                <w:color w:val="auto"/>
              </w:rPr>
              <w:t>positions sold, but not yet purchased:</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F3F3F3"/>
          </w:tcPr>
          <w:p>
            <w:pPr>
              <w:ind w:left="260"/>
              <w:spacing w:after="0"/>
              <w:rPr>
                <w:sz w:val="20"/>
                <w:szCs w:val="20"/>
                <w:color w:val="auto"/>
              </w:rPr>
            </w:pPr>
            <w:r>
              <w:rPr>
                <w:rFonts w:ascii="Arial" w:cs="Arial" w:eastAsia="Arial" w:hAnsi="Arial"/>
                <w:sz w:val="17"/>
                <w:szCs w:val="17"/>
                <w:color w:val="auto"/>
              </w:rPr>
              <w:t>Corporate securities:</w:t>
            </w: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18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60" w:type="dxa"/>
            <w:vAlign w:val="bottom"/>
            <w:shd w:val="clear" w:color="auto" w:fill="F3F3F3"/>
          </w:tcPr>
          <w:p>
            <w:pPr>
              <w:spacing w:after="0"/>
              <w:rPr>
                <w:sz w:val="19"/>
                <w:szCs w:val="19"/>
                <w:color w:val="auto"/>
              </w:rPr>
            </w:pPr>
          </w:p>
        </w:tc>
        <w:tc>
          <w:tcPr>
            <w:tcW w:w="130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14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340"/>
              <w:spacing w:after="0"/>
              <w:rPr>
                <w:sz w:val="20"/>
                <w:szCs w:val="20"/>
                <w:color w:val="auto"/>
              </w:rPr>
            </w:pPr>
            <w:r>
              <w:rPr>
                <w:rFonts w:ascii="Arial" w:cs="Arial" w:eastAsia="Arial" w:hAnsi="Arial"/>
                <w:sz w:val="17"/>
                <w:szCs w:val="17"/>
                <w:color w:val="auto"/>
              </w:rPr>
              <w:t>Equity securities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723</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723</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340"/>
              <w:spacing w:after="0"/>
              <w:rPr>
                <w:sz w:val="20"/>
                <w:szCs w:val="20"/>
                <w:color w:val="auto"/>
              </w:rPr>
            </w:pPr>
            <w:r>
              <w:rPr>
                <w:rFonts w:ascii="Arial" w:cs="Arial" w:eastAsia="Arial" w:hAnsi="Arial"/>
                <w:sz w:val="17"/>
                <w:szCs w:val="17"/>
                <w:color w:val="auto"/>
              </w:rPr>
              <w:t>Fixed income securities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520</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spacing w:after="0"/>
              <w:rPr>
                <w:sz w:val="20"/>
                <w:szCs w:val="20"/>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27"/>
        </w:trPr>
        <w:tc>
          <w:tcPr>
            <w:tcW w:w="3600" w:type="dxa"/>
            <w:vAlign w:val="bottom"/>
          </w:tcPr>
          <w:p>
            <w:pPr>
              <w:ind w:left="260"/>
              <w:spacing w:after="0"/>
              <w:rPr>
                <w:sz w:val="20"/>
                <w:szCs w:val="20"/>
                <w:color w:val="auto"/>
              </w:rPr>
            </w:pPr>
            <w:r>
              <w:rPr>
                <w:rFonts w:ascii="Arial" w:cs="Arial" w:eastAsia="Arial" w:hAnsi="Arial"/>
                <w:sz w:val="17"/>
                <w:szCs w:val="17"/>
                <w:color w:val="auto"/>
              </w:rPr>
              <w:t>U.S. government securities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40,004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40,004</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260"/>
              <w:spacing w:after="0"/>
              <w:rPr>
                <w:sz w:val="20"/>
                <w:szCs w:val="20"/>
                <w:color w:val="auto"/>
              </w:rPr>
            </w:pPr>
            <w:r>
              <w:rPr>
                <w:rFonts w:ascii="Arial" w:cs="Arial" w:eastAsia="Arial" w:hAnsi="Arial"/>
                <w:sz w:val="17"/>
                <w:szCs w:val="17"/>
                <w:color w:val="auto"/>
              </w:rPr>
              <w:t>Derivative contracts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3,499</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1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5,246</w:t>
            </w:r>
          </w:p>
        </w:tc>
        <w:tc>
          <w:tcPr>
            <w:tcW w:w="10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300" w:type="dxa"/>
            <w:vAlign w:val="bottom"/>
            <w:shd w:val="clear" w:color="auto" w:fill="F3F3F3"/>
          </w:tcPr>
          <w:p>
            <w:pPr>
              <w:ind w:left="740"/>
              <w:spacing w:after="0"/>
              <w:rPr>
                <w:sz w:val="20"/>
                <w:szCs w:val="20"/>
                <w:color w:val="auto"/>
              </w:rPr>
            </w:pPr>
            <w:r>
              <w:rPr>
                <w:rFonts w:ascii="Arial" w:cs="Arial" w:eastAsia="Arial" w:hAnsi="Arial"/>
                <w:sz w:val="17"/>
                <w:szCs w:val="17"/>
                <w:color w:val="auto"/>
              </w:rPr>
              <w:t>(6,850)</w:t>
            </w:r>
          </w:p>
        </w:tc>
        <w:tc>
          <w:tcPr>
            <w:tcW w:w="100" w:type="dxa"/>
            <w:vAlign w:val="bottom"/>
            <w:shd w:val="clear" w:color="auto" w:fill="F3F3F3"/>
          </w:tcPr>
          <w:p>
            <w:pPr>
              <w:spacing w:after="0"/>
              <w:rPr>
                <w:sz w:val="20"/>
                <w:szCs w:val="20"/>
                <w:color w:val="auto"/>
              </w:rPr>
            </w:pP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1,895</w:t>
            </w:r>
          </w:p>
        </w:tc>
        <w:tc>
          <w:tcPr>
            <w:tcW w:w="0" w:type="dxa"/>
            <w:vAlign w:val="bottom"/>
          </w:tcPr>
          <w:p>
            <w:pPr>
              <w:spacing w:after="0"/>
              <w:rPr>
                <w:sz w:val="1"/>
                <w:szCs w:val="1"/>
                <w:color w:val="auto"/>
              </w:rPr>
            </w:pPr>
          </w:p>
        </w:tc>
      </w:tr>
      <w:tr>
        <w:trPr>
          <w:trHeight w:val="147"/>
        </w:trPr>
        <w:tc>
          <w:tcPr>
            <w:tcW w:w="3600" w:type="dxa"/>
            <w:vAlign w:val="bottom"/>
          </w:tcPr>
          <w:p>
            <w:pPr>
              <w:ind w:left="140"/>
              <w:spacing w:after="0" w:line="147" w:lineRule="exact"/>
              <w:rPr>
                <w:sz w:val="20"/>
                <w:szCs w:val="20"/>
                <w:color w:val="auto"/>
              </w:rPr>
            </w:pPr>
            <w:r>
              <w:rPr>
                <w:rFonts w:ascii="Arial" w:cs="Arial" w:eastAsia="Arial" w:hAnsi="Arial"/>
                <w:sz w:val="17"/>
                <w:szCs w:val="17"/>
                <w:b w:val="1"/>
                <w:bCs w:val="1"/>
                <w:color w:val="auto"/>
              </w:rPr>
              <w:t>Total financial instruments and other</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220"/>
              <w:spacing w:after="0" w:line="171" w:lineRule="exact"/>
              <w:rPr>
                <w:sz w:val="20"/>
                <w:szCs w:val="20"/>
                <w:color w:val="auto"/>
              </w:rPr>
            </w:pPr>
            <w:r>
              <w:rPr>
                <w:rFonts w:ascii="Arial" w:cs="Arial" w:eastAsia="Arial" w:hAnsi="Arial"/>
                <w:sz w:val="17"/>
                <w:szCs w:val="17"/>
                <w:b w:val="1"/>
                <w:bCs w:val="1"/>
                <w:color w:val="auto"/>
              </w:rPr>
              <w:t>inventory positions sold, but not yet</w:t>
            </w: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40,727</w:t>
            </w:r>
          </w:p>
        </w:tc>
        <w:tc>
          <w:tcPr>
            <w:tcW w:w="100" w:type="dxa"/>
            <w:vAlign w:val="bottom"/>
          </w:tcPr>
          <w:p>
            <w:pPr>
              <w:spacing w:after="0"/>
              <w:rPr>
                <w:sz w:val="14"/>
                <w:szCs w:val="14"/>
                <w:color w:val="auto"/>
              </w:rPr>
            </w:pP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4,019</w:t>
            </w:r>
          </w:p>
        </w:tc>
        <w:tc>
          <w:tcPr>
            <w:tcW w:w="100" w:type="dxa"/>
            <w:vAlign w:val="bottom"/>
          </w:tcPr>
          <w:p>
            <w:pPr>
              <w:spacing w:after="0"/>
              <w:rPr>
                <w:sz w:val="14"/>
                <w:szCs w:val="14"/>
                <w:color w:val="auto"/>
              </w:rPr>
            </w:pPr>
          </w:p>
        </w:tc>
        <w:tc>
          <w:tcPr>
            <w:tcW w:w="260" w:type="dxa"/>
            <w:vAlign w:val="bottom"/>
            <w:vMerge w:val="restart"/>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5,246</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tcPr>
          <w:p>
            <w:pPr>
              <w:ind w:left="740"/>
              <w:spacing w:after="0"/>
              <w:rPr>
                <w:sz w:val="20"/>
                <w:szCs w:val="20"/>
                <w:color w:val="auto"/>
              </w:rPr>
            </w:pPr>
            <w:r>
              <w:rPr>
                <w:rFonts w:ascii="Arial" w:cs="Arial" w:eastAsia="Arial" w:hAnsi="Arial"/>
                <w:sz w:val="17"/>
                <w:szCs w:val="17"/>
                <w:color w:val="auto"/>
              </w:rPr>
              <w:t>(6,850)</w:t>
            </w:r>
          </w:p>
        </w:tc>
        <w:tc>
          <w:tcPr>
            <w:tcW w:w="100" w:type="dxa"/>
            <w:vAlign w:val="bottom"/>
          </w:tcPr>
          <w:p>
            <w:pPr>
              <w:spacing w:after="0"/>
              <w:rPr>
                <w:sz w:val="14"/>
                <w:szCs w:val="14"/>
                <w:color w:val="auto"/>
              </w:rPr>
            </w:pPr>
          </w:p>
        </w:tc>
        <w:tc>
          <w:tcPr>
            <w:tcW w:w="320" w:type="dxa"/>
            <w:vAlign w:val="bottom"/>
            <w:vMerge w:val="restart"/>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43,142</w:t>
            </w:r>
          </w:p>
        </w:tc>
        <w:tc>
          <w:tcPr>
            <w:tcW w:w="0" w:type="dxa"/>
            <w:vAlign w:val="bottom"/>
          </w:tcPr>
          <w:p>
            <w:pPr>
              <w:spacing w:after="0"/>
              <w:rPr>
                <w:sz w:val="1"/>
                <w:szCs w:val="1"/>
                <w:color w:val="auto"/>
              </w:rPr>
            </w:pPr>
          </w:p>
        </w:tc>
      </w:tr>
      <w:tr>
        <w:trPr>
          <w:trHeight w:val="208"/>
        </w:trPr>
        <w:tc>
          <w:tcPr>
            <w:tcW w:w="3600" w:type="dxa"/>
            <w:vAlign w:val="bottom"/>
          </w:tcPr>
          <w:p>
            <w:pPr>
              <w:ind w:left="220"/>
              <w:spacing w:after="0"/>
              <w:rPr>
                <w:sz w:val="20"/>
                <w:szCs w:val="20"/>
                <w:color w:val="auto"/>
              </w:rPr>
            </w:pPr>
            <w:r>
              <w:rPr>
                <w:rFonts w:ascii="Arial" w:cs="Arial" w:eastAsia="Arial" w:hAnsi="Arial"/>
                <w:sz w:val="17"/>
                <w:szCs w:val="17"/>
                <w:b w:val="1"/>
                <w:bCs w:val="1"/>
                <w:color w:val="auto"/>
              </w:rPr>
              <w:t>purchased</w:t>
            </w:r>
          </w:p>
        </w:tc>
        <w:tc>
          <w:tcPr>
            <w:tcW w:w="2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color w:val="auto"/>
        </w:rPr>
        <w:t>Represents cash collateral and the impact of netting on a counterparty basis. The Company had no securities posted as collateral to its counterparties.</w:t>
      </w:r>
    </w:p>
    <w:p>
      <w:pPr>
        <w:spacing w:after="0" w:line="57" w:lineRule="exact"/>
        <w:rPr>
          <w:rFonts w:ascii="Arial" w:cs="Arial" w:eastAsia="Arial" w:hAnsi="Arial"/>
          <w:sz w:val="15"/>
          <w:szCs w:val="15"/>
          <w:i w:val="1"/>
          <w:iCs w:val="1"/>
          <w:color w:val="auto"/>
        </w:rPr>
      </w:pPr>
    </w:p>
    <w:p>
      <w:pPr>
        <w:ind w:left="340" w:hanging="332"/>
        <w:spacing w:after="0" w:line="301" w:lineRule="auto"/>
        <w:tabs>
          <w:tab w:leader="none" w:pos="338" w:val="left"/>
        </w:tabs>
        <w:numPr>
          <w:ilvl w:val="0"/>
          <w:numId w:val="6"/>
        </w:numPr>
        <w:rPr>
          <w:rFonts w:ascii="Arial" w:cs="Arial" w:eastAsia="Arial" w:hAnsi="Arial"/>
          <w:sz w:val="15"/>
          <w:szCs w:val="15"/>
          <w:i w:val="1"/>
          <w:iCs w:val="1"/>
          <w:color w:val="auto"/>
        </w:rPr>
      </w:pPr>
      <w:r>
        <w:rPr>
          <w:rFonts w:ascii="Arial" w:cs="Arial" w:eastAsia="Arial" w:hAnsi="Arial"/>
          <w:sz w:val="15"/>
          <w:szCs w:val="15"/>
          <w:i w:val="1"/>
          <w:iCs w:val="1"/>
          <w:color w:val="auto"/>
        </w:rPr>
        <w:t>Includes noncontrolling interests of $205.1 million attributable to unrelated third-party ownership in consolidated alternative asset management funds, of which $168.6 million is classified as Level III.</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At March 31, 2026, the Company's Level I investments at fair value included $4.9 million of equity securities subject to contractual sale restrictions which will expire in the first quarter of 2027.</w:t>
      </w: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valuation of the Company's financial instruments by pricing observability levels defined in ASC 820 as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Counterparty</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and Cash</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Collateral</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600" w:type="dxa"/>
            <w:vAlign w:val="bottom"/>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28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7"/>
                <w:szCs w:val="17"/>
                <w:b w:val="1"/>
                <w:bCs w:val="1"/>
                <w:color w:val="auto"/>
              </w:rPr>
              <w:t>Level I</w:t>
            </w:r>
          </w:p>
        </w:tc>
        <w:tc>
          <w:tcPr>
            <w:tcW w:w="280" w:type="dxa"/>
            <w:vAlign w:val="bottom"/>
          </w:tcPr>
          <w:p>
            <w:pPr>
              <w:spacing w:after="0"/>
              <w:rPr>
                <w:sz w:val="20"/>
                <w:szCs w:val="20"/>
                <w:color w:val="auto"/>
              </w:rPr>
            </w:pPr>
          </w:p>
        </w:tc>
        <w:tc>
          <w:tcPr>
            <w:tcW w:w="1260" w:type="dxa"/>
            <w:vAlign w:val="bottom"/>
            <w:gridSpan w:val="2"/>
          </w:tcPr>
          <w:p>
            <w:pPr>
              <w:ind w:left="160"/>
              <w:spacing w:after="0"/>
              <w:rPr>
                <w:sz w:val="20"/>
                <w:szCs w:val="20"/>
                <w:color w:val="auto"/>
              </w:rPr>
            </w:pPr>
            <w:r>
              <w:rPr>
                <w:rFonts w:ascii="Arial" w:cs="Arial" w:eastAsia="Arial" w:hAnsi="Arial"/>
                <w:sz w:val="17"/>
                <w:szCs w:val="17"/>
                <w:b w:val="1"/>
                <w:bCs w:val="1"/>
                <w:color w:val="auto"/>
              </w:rPr>
              <w:t>Level II</w:t>
            </w:r>
          </w:p>
        </w:tc>
        <w:tc>
          <w:tcPr>
            <w:tcW w:w="260" w:type="dxa"/>
            <w:vAlign w:val="bottom"/>
          </w:tcPr>
          <w:p>
            <w:pPr>
              <w:spacing w:after="0"/>
              <w:rPr>
                <w:sz w:val="20"/>
                <w:szCs w:val="20"/>
                <w:color w:val="auto"/>
              </w:rPr>
            </w:pPr>
          </w:p>
        </w:tc>
        <w:tc>
          <w:tcPr>
            <w:tcW w:w="1280" w:type="dxa"/>
            <w:vAlign w:val="bottom"/>
            <w:gridSpan w:val="2"/>
          </w:tcPr>
          <w:p>
            <w:pPr>
              <w:ind w:left="140"/>
              <w:spacing w:after="0"/>
              <w:rPr>
                <w:sz w:val="20"/>
                <w:szCs w:val="20"/>
                <w:color w:val="auto"/>
              </w:rPr>
            </w:pPr>
            <w:r>
              <w:rPr>
                <w:rFonts w:ascii="Arial" w:cs="Arial" w:eastAsia="Arial" w:hAnsi="Arial"/>
                <w:sz w:val="17"/>
                <w:szCs w:val="17"/>
                <w:b w:val="1"/>
                <w:bCs w:val="1"/>
                <w:color w:val="auto"/>
              </w:rPr>
              <w:t>Level III</w:t>
            </w:r>
          </w:p>
        </w:tc>
        <w:tc>
          <w:tcPr>
            <w:tcW w:w="16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Netting (1)</w:t>
            </w:r>
          </w:p>
        </w:tc>
        <w:tc>
          <w:tcPr>
            <w:tcW w:w="320" w:type="dxa"/>
            <w:vAlign w:val="bottom"/>
          </w:tcPr>
          <w:p>
            <w:pPr>
              <w:spacing w:after="0"/>
              <w:rPr>
                <w:sz w:val="20"/>
                <w:szCs w:val="20"/>
                <w:color w:val="auto"/>
              </w:rPr>
            </w:pPr>
          </w:p>
        </w:tc>
        <w:tc>
          <w:tcPr>
            <w:tcW w:w="1140" w:type="dxa"/>
            <w:vAlign w:val="bottom"/>
          </w:tcPr>
          <w:p>
            <w:pPr>
              <w:jc w:val="right"/>
              <w:ind w:right="45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1"/>
        </w:trPr>
        <w:tc>
          <w:tcPr>
            <w:tcW w:w="360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Assets</w:t>
            </w:r>
          </w:p>
        </w:tc>
        <w:tc>
          <w:tcPr>
            <w:tcW w:w="280" w:type="dxa"/>
            <w:vAlign w:val="bottom"/>
            <w:tcBorders>
              <w:top w:val="single" w:sz="8" w:color="auto"/>
            </w:tcBorders>
            <w:shd w:val="clear" w:color="auto" w:fill="F3F3F3"/>
          </w:tcPr>
          <w:p>
            <w:pPr>
              <w:spacing w:after="0"/>
              <w:rPr>
                <w:sz w:val="18"/>
                <w:szCs w:val="18"/>
                <w:color w:val="auto"/>
              </w:rPr>
            </w:pPr>
          </w:p>
        </w:tc>
        <w:tc>
          <w:tcPr>
            <w:tcW w:w="116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280" w:type="dxa"/>
            <w:vAlign w:val="bottom"/>
            <w:tcBorders>
              <w:top w:val="single" w:sz="8" w:color="auto"/>
            </w:tcBorders>
            <w:shd w:val="clear" w:color="auto" w:fill="F3F3F3"/>
          </w:tcPr>
          <w:p>
            <w:pPr>
              <w:spacing w:after="0"/>
              <w:rPr>
                <w:sz w:val="18"/>
                <w:szCs w:val="18"/>
                <w:color w:val="auto"/>
              </w:rPr>
            </w:pPr>
          </w:p>
        </w:tc>
        <w:tc>
          <w:tcPr>
            <w:tcW w:w="116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260" w:type="dxa"/>
            <w:vAlign w:val="bottom"/>
            <w:tcBorders>
              <w:top w:val="single" w:sz="8" w:color="auto"/>
            </w:tcBorders>
            <w:shd w:val="clear" w:color="auto" w:fill="F3F3F3"/>
          </w:tcPr>
          <w:p>
            <w:pPr>
              <w:spacing w:after="0"/>
              <w:rPr>
                <w:sz w:val="18"/>
                <w:szCs w:val="18"/>
                <w:color w:val="auto"/>
              </w:rPr>
            </w:pPr>
          </w:p>
        </w:tc>
        <w:tc>
          <w:tcPr>
            <w:tcW w:w="118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160" w:type="dxa"/>
            <w:vAlign w:val="bottom"/>
            <w:tcBorders>
              <w:top w:val="single" w:sz="8" w:color="auto"/>
            </w:tcBorders>
            <w:shd w:val="clear" w:color="auto" w:fill="F3F3F3"/>
          </w:tcPr>
          <w:p>
            <w:pPr>
              <w:spacing w:after="0"/>
              <w:rPr>
                <w:sz w:val="18"/>
                <w:szCs w:val="18"/>
                <w:color w:val="auto"/>
              </w:rPr>
            </w:pPr>
          </w:p>
        </w:tc>
        <w:tc>
          <w:tcPr>
            <w:tcW w:w="130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320" w:type="dxa"/>
            <w:vAlign w:val="bottom"/>
            <w:tcBorders>
              <w:top w:val="single" w:sz="8" w:color="auto"/>
            </w:tcBorders>
            <w:shd w:val="clear" w:color="auto" w:fill="F3F3F3"/>
          </w:tcPr>
          <w:p>
            <w:pPr>
              <w:spacing w:after="0"/>
              <w:rPr>
                <w:sz w:val="18"/>
                <w:szCs w:val="18"/>
                <w:color w:val="auto"/>
              </w:rPr>
            </w:pPr>
          </w:p>
        </w:tc>
        <w:tc>
          <w:tcPr>
            <w:tcW w:w="1140" w:type="dxa"/>
            <w:vAlign w:val="bottom"/>
            <w:tcBorders>
              <w:top w:val="single" w:sz="8" w:color="auto"/>
            </w:tcBorders>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3600" w:type="dxa"/>
            <w:vAlign w:val="bottom"/>
          </w:tcPr>
          <w:p>
            <w:pPr>
              <w:ind w:left="140"/>
              <w:spacing w:after="0" w:line="167" w:lineRule="exact"/>
              <w:rPr>
                <w:sz w:val="20"/>
                <w:szCs w:val="20"/>
                <w:color w:val="auto"/>
              </w:rPr>
            </w:pPr>
            <w:r>
              <w:rPr>
                <w:rFonts w:ascii="Arial" w:cs="Arial" w:eastAsia="Arial" w:hAnsi="Arial"/>
                <w:sz w:val="17"/>
                <w:szCs w:val="17"/>
                <w:b w:val="1"/>
                <w:bCs w:val="1"/>
                <w:i w:val="1"/>
                <w:iCs w:val="1"/>
                <w:color w:val="auto"/>
              </w:rPr>
              <w:t>Financial instruments and other inventory</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00" w:type="dxa"/>
            <w:vAlign w:val="bottom"/>
          </w:tcPr>
          <w:p>
            <w:pPr>
              <w:ind w:left="220"/>
              <w:spacing w:after="0"/>
              <w:rPr>
                <w:sz w:val="20"/>
                <w:szCs w:val="20"/>
                <w:color w:val="auto"/>
              </w:rPr>
            </w:pPr>
            <w:r>
              <w:rPr>
                <w:rFonts w:ascii="Arial" w:cs="Arial" w:eastAsia="Arial" w:hAnsi="Arial"/>
                <w:sz w:val="17"/>
                <w:szCs w:val="17"/>
                <w:b w:val="1"/>
                <w:bCs w:val="1"/>
                <w:i w:val="1"/>
                <w:iCs w:val="1"/>
                <w:color w:val="auto"/>
              </w:rPr>
              <w:t>positions owned:</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F3F3F3"/>
          </w:tcPr>
          <w:p>
            <w:pPr>
              <w:ind w:left="260"/>
              <w:spacing w:after="0"/>
              <w:rPr>
                <w:sz w:val="20"/>
                <w:szCs w:val="20"/>
                <w:color w:val="auto"/>
              </w:rPr>
            </w:pPr>
            <w:r>
              <w:rPr>
                <w:rFonts w:ascii="Arial" w:cs="Arial" w:eastAsia="Arial" w:hAnsi="Arial"/>
                <w:sz w:val="17"/>
                <w:szCs w:val="17"/>
                <w:color w:val="auto"/>
              </w:rPr>
              <w:t>Corporate securities:</w:t>
            </w: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18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60" w:type="dxa"/>
            <w:vAlign w:val="bottom"/>
            <w:shd w:val="clear" w:color="auto" w:fill="F3F3F3"/>
          </w:tcPr>
          <w:p>
            <w:pPr>
              <w:spacing w:after="0"/>
              <w:rPr>
                <w:sz w:val="19"/>
                <w:szCs w:val="19"/>
                <w:color w:val="auto"/>
              </w:rPr>
            </w:pPr>
          </w:p>
        </w:tc>
        <w:tc>
          <w:tcPr>
            <w:tcW w:w="130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14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340"/>
              <w:spacing w:after="0"/>
              <w:rPr>
                <w:sz w:val="20"/>
                <w:szCs w:val="20"/>
                <w:color w:val="auto"/>
              </w:rPr>
            </w:pPr>
            <w:r>
              <w:rPr>
                <w:rFonts w:ascii="Arial" w:cs="Arial" w:eastAsia="Arial" w:hAnsi="Arial"/>
                <w:sz w:val="17"/>
                <w:szCs w:val="17"/>
                <w:color w:val="auto"/>
              </w:rPr>
              <w:t>Convertible securities</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140,306</w:t>
            </w:r>
          </w:p>
        </w:tc>
        <w:tc>
          <w:tcPr>
            <w:tcW w:w="100" w:type="dxa"/>
            <w:vAlign w:val="bottom"/>
          </w:tcPr>
          <w:p>
            <w:pPr>
              <w:spacing w:after="0"/>
              <w:rPr>
                <w:sz w:val="19"/>
                <w:szCs w:val="19"/>
                <w:color w:val="auto"/>
              </w:rPr>
            </w:pPr>
          </w:p>
        </w:tc>
        <w:tc>
          <w:tcPr>
            <w:tcW w:w="26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140,306</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340"/>
              <w:spacing w:after="0"/>
              <w:rPr>
                <w:sz w:val="20"/>
                <w:szCs w:val="20"/>
                <w:color w:val="auto"/>
              </w:rPr>
            </w:pPr>
            <w:r>
              <w:rPr>
                <w:rFonts w:ascii="Arial" w:cs="Arial" w:eastAsia="Arial" w:hAnsi="Arial"/>
                <w:sz w:val="17"/>
                <w:szCs w:val="17"/>
                <w:color w:val="auto"/>
              </w:rPr>
              <w:t>Fixed income securities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2,831</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spacing w:after="0"/>
              <w:rPr>
                <w:sz w:val="20"/>
                <w:szCs w:val="20"/>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2,831</w:t>
            </w:r>
          </w:p>
        </w:tc>
        <w:tc>
          <w:tcPr>
            <w:tcW w:w="0" w:type="dxa"/>
            <w:vAlign w:val="bottom"/>
          </w:tcPr>
          <w:p>
            <w:pPr>
              <w:spacing w:after="0"/>
              <w:rPr>
                <w:sz w:val="1"/>
                <w:szCs w:val="1"/>
                <w:color w:val="auto"/>
              </w:rPr>
            </w:pPr>
          </w:p>
        </w:tc>
      </w:tr>
      <w:tr>
        <w:trPr>
          <w:trHeight w:val="227"/>
        </w:trPr>
        <w:tc>
          <w:tcPr>
            <w:tcW w:w="3600" w:type="dxa"/>
            <w:vAlign w:val="bottom"/>
          </w:tcPr>
          <w:p>
            <w:pPr>
              <w:ind w:left="260"/>
              <w:spacing w:after="0"/>
              <w:rPr>
                <w:sz w:val="20"/>
                <w:szCs w:val="20"/>
                <w:color w:val="auto"/>
              </w:rPr>
            </w:pPr>
            <w:r>
              <w:rPr>
                <w:rFonts w:ascii="Arial" w:cs="Arial" w:eastAsia="Arial" w:hAnsi="Arial"/>
                <w:sz w:val="17"/>
                <w:szCs w:val="17"/>
                <w:color w:val="auto"/>
              </w:rPr>
              <w:t>Municipal securities: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340"/>
              <w:spacing w:after="0"/>
              <w:rPr>
                <w:sz w:val="20"/>
                <w:szCs w:val="20"/>
                <w:color w:val="auto"/>
              </w:rPr>
            </w:pPr>
            <w:r>
              <w:rPr>
                <w:rFonts w:ascii="Arial" w:cs="Arial" w:eastAsia="Arial" w:hAnsi="Arial"/>
                <w:sz w:val="17"/>
                <w:szCs w:val="17"/>
                <w:color w:val="auto"/>
              </w:rPr>
              <w:t>Taxable securities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33,021</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spacing w:after="0"/>
              <w:rPr>
                <w:sz w:val="20"/>
                <w:szCs w:val="20"/>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33,021</w:t>
            </w:r>
          </w:p>
        </w:tc>
        <w:tc>
          <w:tcPr>
            <w:tcW w:w="0" w:type="dxa"/>
            <w:vAlign w:val="bottom"/>
          </w:tcPr>
          <w:p>
            <w:pPr>
              <w:spacing w:after="0"/>
              <w:rPr>
                <w:sz w:val="1"/>
                <w:szCs w:val="1"/>
                <w:color w:val="auto"/>
              </w:rPr>
            </w:pPr>
          </w:p>
        </w:tc>
      </w:tr>
      <w:tr>
        <w:trPr>
          <w:trHeight w:val="227"/>
        </w:trPr>
        <w:tc>
          <w:tcPr>
            <w:tcW w:w="3600" w:type="dxa"/>
            <w:vAlign w:val="bottom"/>
          </w:tcPr>
          <w:p>
            <w:pPr>
              <w:ind w:left="340"/>
              <w:spacing w:after="0"/>
              <w:rPr>
                <w:sz w:val="20"/>
                <w:szCs w:val="20"/>
                <w:color w:val="auto"/>
              </w:rPr>
            </w:pPr>
            <w:r>
              <w:rPr>
                <w:rFonts w:ascii="Arial" w:cs="Arial" w:eastAsia="Arial" w:hAnsi="Arial"/>
                <w:sz w:val="17"/>
                <w:szCs w:val="17"/>
                <w:color w:val="auto"/>
              </w:rPr>
              <w:t>Tax-exempt securities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125,419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125,419</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340"/>
              <w:spacing w:after="0"/>
              <w:rPr>
                <w:sz w:val="20"/>
                <w:szCs w:val="20"/>
                <w:color w:val="auto"/>
              </w:rPr>
            </w:pPr>
            <w:r>
              <w:rPr>
                <w:rFonts w:ascii="Arial" w:cs="Arial" w:eastAsia="Arial" w:hAnsi="Arial"/>
                <w:sz w:val="17"/>
                <w:szCs w:val="17"/>
                <w:color w:val="auto"/>
              </w:rPr>
              <w:t>Short-term securities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19,531</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spacing w:after="0"/>
              <w:rPr>
                <w:sz w:val="20"/>
                <w:szCs w:val="20"/>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19,531</w:t>
            </w:r>
          </w:p>
        </w:tc>
        <w:tc>
          <w:tcPr>
            <w:tcW w:w="0" w:type="dxa"/>
            <w:vAlign w:val="bottom"/>
          </w:tcPr>
          <w:p>
            <w:pPr>
              <w:spacing w:after="0"/>
              <w:rPr>
                <w:sz w:val="1"/>
                <w:szCs w:val="1"/>
                <w:color w:val="auto"/>
              </w:rPr>
            </w:pPr>
          </w:p>
        </w:tc>
      </w:tr>
      <w:tr>
        <w:trPr>
          <w:trHeight w:val="227"/>
        </w:trPr>
        <w:tc>
          <w:tcPr>
            <w:tcW w:w="3600" w:type="dxa"/>
            <w:vAlign w:val="bottom"/>
          </w:tcPr>
          <w:p>
            <w:pPr>
              <w:ind w:left="260"/>
              <w:spacing w:after="0"/>
              <w:rPr>
                <w:sz w:val="20"/>
                <w:szCs w:val="20"/>
                <w:color w:val="auto"/>
              </w:rPr>
            </w:pPr>
            <w:r>
              <w:rPr>
                <w:rFonts w:ascii="Arial" w:cs="Arial" w:eastAsia="Arial" w:hAnsi="Arial"/>
                <w:sz w:val="17"/>
                <w:szCs w:val="17"/>
                <w:color w:val="auto"/>
              </w:rPr>
              <w:t>Asset-backed securities</w:t>
            </w: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92,472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92,472</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260"/>
              <w:spacing w:after="0"/>
              <w:rPr>
                <w:sz w:val="20"/>
                <w:szCs w:val="20"/>
                <w:color w:val="auto"/>
              </w:rPr>
            </w:pPr>
            <w:r>
              <w:rPr>
                <w:rFonts w:ascii="Arial" w:cs="Arial" w:eastAsia="Arial" w:hAnsi="Arial"/>
                <w:sz w:val="17"/>
                <w:szCs w:val="17"/>
                <w:color w:val="auto"/>
              </w:rPr>
              <w:t>U.S. government agency securities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82,666</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spacing w:after="0"/>
              <w:rPr>
                <w:sz w:val="20"/>
                <w:szCs w:val="20"/>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82,666</w:t>
            </w:r>
          </w:p>
        </w:tc>
        <w:tc>
          <w:tcPr>
            <w:tcW w:w="0" w:type="dxa"/>
            <w:vAlign w:val="bottom"/>
          </w:tcPr>
          <w:p>
            <w:pPr>
              <w:spacing w:after="0"/>
              <w:rPr>
                <w:sz w:val="1"/>
                <w:szCs w:val="1"/>
                <w:color w:val="auto"/>
              </w:rPr>
            </w:pPr>
          </w:p>
        </w:tc>
      </w:tr>
      <w:tr>
        <w:trPr>
          <w:trHeight w:val="227"/>
        </w:trPr>
        <w:tc>
          <w:tcPr>
            <w:tcW w:w="3600" w:type="dxa"/>
            <w:vAlign w:val="bottom"/>
          </w:tcPr>
          <w:p>
            <w:pPr>
              <w:ind w:left="260"/>
              <w:spacing w:after="0"/>
              <w:rPr>
                <w:sz w:val="20"/>
                <w:szCs w:val="20"/>
                <w:color w:val="auto"/>
              </w:rPr>
            </w:pPr>
            <w:r>
              <w:rPr>
                <w:rFonts w:ascii="Arial" w:cs="Arial" w:eastAsia="Arial" w:hAnsi="Arial"/>
                <w:sz w:val="17"/>
                <w:szCs w:val="17"/>
                <w:color w:val="auto"/>
              </w:rPr>
              <w:t>U.S. government securities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260"/>
              <w:spacing w:after="0"/>
              <w:rPr>
                <w:sz w:val="20"/>
                <w:szCs w:val="20"/>
                <w:color w:val="auto"/>
              </w:rPr>
            </w:pPr>
            <w:r>
              <w:rPr>
                <w:rFonts w:ascii="Arial" w:cs="Arial" w:eastAsia="Arial" w:hAnsi="Arial"/>
                <w:sz w:val="17"/>
                <w:szCs w:val="17"/>
                <w:color w:val="auto"/>
              </w:rPr>
              <w:t>Derivative contracts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5,744</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1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2,352</w:t>
            </w:r>
          </w:p>
        </w:tc>
        <w:tc>
          <w:tcPr>
            <w:tcW w:w="10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300" w:type="dxa"/>
            <w:vAlign w:val="bottom"/>
            <w:shd w:val="clear" w:color="auto" w:fill="F3F3F3"/>
          </w:tcPr>
          <w:p>
            <w:pPr>
              <w:ind w:left="740"/>
              <w:spacing w:after="0"/>
              <w:rPr>
                <w:sz w:val="20"/>
                <w:szCs w:val="20"/>
                <w:color w:val="auto"/>
              </w:rPr>
            </w:pPr>
            <w:r>
              <w:rPr>
                <w:rFonts w:ascii="Arial" w:cs="Arial" w:eastAsia="Arial" w:hAnsi="Arial"/>
                <w:sz w:val="17"/>
                <w:szCs w:val="17"/>
                <w:color w:val="auto"/>
              </w:rPr>
              <w:t>(2,273)</w:t>
            </w:r>
          </w:p>
        </w:tc>
        <w:tc>
          <w:tcPr>
            <w:tcW w:w="100" w:type="dxa"/>
            <w:vAlign w:val="bottom"/>
            <w:shd w:val="clear" w:color="auto" w:fill="F3F3F3"/>
          </w:tcPr>
          <w:p>
            <w:pPr>
              <w:spacing w:after="0"/>
              <w:rPr>
                <w:sz w:val="20"/>
                <w:szCs w:val="20"/>
                <w:color w:val="auto"/>
              </w:rPr>
            </w:pP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5,823</w:t>
            </w:r>
          </w:p>
        </w:tc>
        <w:tc>
          <w:tcPr>
            <w:tcW w:w="0" w:type="dxa"/>
            <w:vAlign w:val="bottom"/>
          </w:tcPr>
          <w:p>
            <w:pPr>
              <w:spacing w:after="0"/>
              <w:rPr>
                <w:sz w:val="1"/>
                <w:szCs w:val="1"/>
                <w:color w:val="auto"/>
              </w:rPr>
            </w:pPr>
          </w:p>
        </w:tc>
      </w:tr>
      <w:tr>
        <w:trPr>
          <w:trHeight w:val="147"/>
        </w:trPr>
        <w:tc>
          <w:tcPr>
            <w:tcW w:w="3600" w:type="dxa"/>
            <w:vAlign w:val="bottom"/>
          </w:tcPr>
          <w:p>
            <w:pPr>
              <w:ind w:left="140"/>
              <w:spacing w:after="0" w:line="147" w:lineRule="exact"/>
              <w:rPr>
                <w:sz w:val="20"/>
                <w:szCs w:val="20"/>
                <w:color w:val="auto"/>
              </w:rPr>
            </w:pPr>
            <w:r>
              <w:rPr>
                <w:rFonts w:ascii="Arial" w:cs="Arial" w:eastAsia="Arial" w:hAnsi="Arial"/>
                <w:sz w:val="17"/>
                <w:szCs w:val="17"/>
                <w:b w:val="1"/>
                <w:bCs w:val="1"/>
                <w:color w:val="auto"/>
              </w:rPr>
              <w:t>Total financial instruments and other</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501,990</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2,352</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vMerge w:val="restart"/>
          </w:tcPr>
          <w:p>
            <w:pPr>
              <w:ind w:left="740"/>
              <w:spacing w:after="0"/>
              <w:rPr>
                <w:sz w:val="20"/>
                <w:szCs w:val="20"/>
                <w:color w:val="auto"/>
              </w:rPr>
            </w:pPr>
            <w:r>
              <w:rPr>
                <w:rFonts w:ascii="Arial" w:cs="Arial" w:eastAsia="Arial" w:hAnsi="Arial"/>
                <w:sz w:val="17"/>
                <w:szCs w:val="17"/>
                <w:color w:val="auto"/>
              </w:rPr>
              <w:t>(2,273)</w:t>
            </w: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7"/>
                <w:szCs w:val="17"/>
                <w:color w:val="auto"/>
              </w:rPr>
              <w:t>502,270</w:t>
            </w:r>
          </w:p>
        </w:tc>
        <w:tc>
          <w:tcPr>
            <w:tcW w:w="0" w:type="dxa"/>
            <w:vAlign w:val="bottom"/>
          </w:tcPr>
          <w:p>
            <w:pPr>
              <w:spacing w:after="0"/>
              <w:rPr>
                <w:sz w:val="1"/>
                <w:szCs w:val="1"/>
                <w:color w:val="auto"/>
              </w:rPr>
            </w:pPr>
          </w:p>
        </w:tc>
      </w:tr>
      <w:tr>
        <w:trPr>
          <w:trHeight w:val="225"/>
        </w:trPr>
        <w:tc>
          <w:tcPr>
            <w:tcW w:w="3600" w:type="dxa"/>
            <w:vAlign w:val="bottom"/>
          </w:tcPr>
          <w:p>
            <w:pPr>
              <w:ind w:left="220"/>
              <w:spacing w:after="0"/>
              <w:rPr>
                <w:sz w:val="20"/>
                <w:szCs w:val="20"/>
                <w:color w:val="auto"/>
              </w:rPr>
            </w:pPr>
            <w:r>
              <w:rPr>
                <w:rFonts w:ascii="Arial" w:cs="Arial" w:eastAsia="Arial" w:hAnsi="Arial"/>
                <w:sz w:val="17"/>
                <w:szCs w:val="17"/>
                <w:b w:val="1"/>
                <w:bCs w:val="1"/>
                <w:color w:val="auto"/>
              </w:rPr>
              <w:t>inventory positions owned</w:t>
            </w: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F3F3F3"/>
          </w:tcPr>
          <w:p>
            <w:pPr>
              <w:spacing w:after="0"/>
              <w:rPr>
                <w:sz w:val="22"/>
                <w:szCs w:val="22"/>
                <w:color w:val="auto"/>
              </w:rPr>
            </w:pPr>
          </w:p>
        </w:tc>
        <w:tc>
          <w:tcPr>
            <w:tcW w:w="280" w:type="dxa"/>
            <w:vAlign w:val="bottom"/>
            <w:shd w:val="clear" w:color="auto" w:fill="F3F3F3"/>
          </w:tcPr>
          <w:p>
            <w:pPr>
              <w:spacing w:after="0"/>
              <w:rPr>
                <w:sz w:val="22"/>
                <w:szCs w:val="22"/>
                <w:color w:val="auto"/>
              </w:rPr>
            </w:pPr>
          </w:p>
        </w:tc>
        <w:tc>
          <w:tcPr>
            <w:tcW w:w="1160" w:type="dxa"/>
            <w:vAlign w:val="bottom"/>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280" w:type="dxa"/>
            <w:vAlign w:val="bottom"/>
            <w:shd w:val="clear" w:color="auto" w:fill="F3F3F3"/>
          </w:tcPr>
          <w:p>
            <w:pPr>
              <w:spacing w:after="0"/>
              <w:rPr>
                <w:sz w:val="22"/>
                <w:szCs w:val="22"/>
                <w:color w:val="auto"/>
              </w:rPr>
            </w:pPr>
          </w:p>
        </w:tc>
        <w:tc>
          <w:tcPr>
            <w:tcW w:w="1160" w:type="dxa"/>
            <w:vAlign w:val="bottom"/>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260" w:type="dxa"/>
            <w:vAlign w:val="bottom"/>
            <w:shd w:val="clear" w:color="auto" w:fill="F3F3F3"/>
          </w:tcPr>
          <w:p>
            <w:pPr>
              <w:spacing w:after="0"/>
              <w:rPr>
                <w:sz w:val="22"/>
                <w:szCs w:val="22"/>
                <w:color w:val="auto"/>
              </w:rPr>
            </w:pPr>
          </w:p>
        </w:tc>
        <w:tc>
          <w:tcPr>
            <w:tcW w:w="1180" w:type="dxa"/>
            <w:vAlign w:val="bottom"/>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160" w:type="dxa"/>
            <w:vAlign w:val="bottom"/>
            <w:shd w:val="clear" w:color="auto" w:fill="F3F3F3"/>
          </w:tcPr>
          <w:p>
            <w:pPr>
              <w:spacing w:after="0"/>
              <w:rPr>
                <w:sz w:val="22"/>
                <w:szCs w:val="22"/>
                <w:color w:val="auto"/>
              </w:rPr>
            </w:pPr>
          </w:p>
        </w:tc>
        <w:tc>
          <w:tcPr>
            <w:tcW w:w="1300" w:type="dxa"/>
            <w:vAlign w:val="bottom"/>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320" w:type="dxa"/>
            <w:vAlign w:val="bottom"/>
            <w:shd w:val="clear" w:color="auto" w:fill="F3F3F3"/>
          </w:tcPr>
          <w:p>
            <w:pPr>
              <w:spacing w:after="0"/>
              <w:rPr>
                <w:sz w:val="22"/>
                <w:szCs w:val="22"/>
                <w:color w:val="auto"/>
              </w:rPr>
            </w:pPr>
          </w:p>
        </w:tc>
        <w:tc>
          <w:tcPr>
            <w:tcW w:w="1140" w:type="dxa"/>
            <w:vAlign w:val="bottom"/>
            <w:shd w:val="clear" w:color="auto" w:fill="F3F3F3"/>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140"/>
              <w:spacing w:after="0"/>
              <w:rPr>
                <w:sz w:val="20"/>
                <w:szCs w:val="20"/>
                <w:color w:val="auto"/>
              </w:rPr>
            </w:pPr>
            <w:r>
              <w:rPr>
                <w:rFonts w:ascii="Arial" w:cs="Arial" w:eastAsia="Arial" w:hAnsi="Arial"/>
                <w:sz w:val="17"/>
                <w:szCs w:val="17"/>
                <w:color w:val="auto"/>
              </w:rPr>
              <w:t>Cash equivalents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717,600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717,600</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Investments at fair value (2)</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87,507</w:t>
            </w:r>
          </w:p>
        </w:tc>
        <w:tc>
          <w:tcPr>
            <w:tcW w:w="100" w:type="dxa"/>
            <w:vAlign w:val="bottom"/>
            <w:shd w:val="clear" w:color="auto" w:fill="F3F3F3"/>
          </w:tcPr>
          <w:p>
            <w:pPr>
              <w:spacing w:after="0"/>
              <w:rPr>
                <w:sz w:val="20"/>
                <w:szCs w:val="20"/>
                <w:color w:val="auto"/>
              </w:rPr>
            </w:pP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shd w:val="clear" w:color="auto" w:fill="F3F3F3"/>
          </w:tcPr>
          <w:p>
            <w:pPr>
              <w:spacing w:after="0"/>
              <w:rPr>
                <w:sz w:val="20"/>
                <w:szCs w:val="20"/>
                <w:color w:val="auto"/>
              </w:rPr>
            </w:pPr>
          </w:p>
        </w:tc>
        <w:tc>
          <w:tcPr>
            <w:tcW w:w="11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217,966</w:t>
            </w:r>
          </w:p>
        </w:tc>
        <w:tc>
          <w:tcPr>
            <w:tcW w:w="10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305,473</w:t>
            </w:r>
          </w:p>
        </w:tc>
        <w:tc>
          <w:tcPr>
            <w:tcW w:w="0" w:type="dxa"/>
            <w:vAlign w:val="bottom"/>
          </w:tcPr>
          <w:p>
            <w:pPr>
              <w:spacing w:after="0"/>
              <w:rPr>
                <w:sz w:val="1"/>
                <w:szCs w:val="1"/>
                <w:color w:val="auto"/>
              </w:rPr>
            </w:pPr>
          </w:p>
        </w:tc>
      </w:tr>
      <w:tr>
        <w:trPr>
          <w:trHeight w:val="221"/>
        </w:trPr>
        <w:tc>
          <w:tcPr>
            <w:tcW w:w="360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805,308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501,990</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220,318</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7"/>
                <w:szCs w:val="17"/>
                <w:color w:val="auto"/>
              </w:rPr>
              <w:t>(2,273)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1,525,343</w:t>
            </w:r>
          </w:p>
        </w:tc>
        <w:tc>
          <w:tcPr>
            <w:tcW w:w="0" w:type="dxa"/>
            <w:vAlign w:val="bottom"/>
          </w:tcPr>
          <w:p>
            <w:pPr>
              <w:spacing w:after="0"/>
              <w:rPr>
                <w:sz w:val="1"/>
                <w:szCs w:val="1"/>
                <w:color w:val="auto"/>
              </w:rPr>
            </w:pPr>
          </w:p>
        </w:tc>
      </w:tr>
      <w:tr>
        <w:trPr>
          <w:trHeight w:val="20"/>
        </w:trPr>
        <w:tc>
          <w:tcPr>
            <w:tcW w:w="3600" w:type="dxa"/>
            <w:vAlign w:val="bottom"/>
            <w:tcBorders>
              <w:bottom w:val="single" w:sz="8" w:color="F3F3F3"/>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3F3F3"/>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3F3F3"/>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3F3F3"/>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3F3F3"/>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6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18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60" w:type="dxa"/>
            <w:vAlign w:val="bottom"/>
            <w:shd w:val="clear" w:color="auto" w:fill="F3F3F3"/>
          </w:tcPr>
          <w:p>
            <w:pPr>
              <w:spacing w:after="0"/>
              <w:rPr>
                <w:sz w:val="19"/>
                <w:szCs w:val="19"/>
                <w:color w:val="auto"/>
              </w:rPr>
            </w:pPr>
          </w:p>
        </w:tc>
        <w:tc>
          <w:tcPr>
            <w:tcW w:w="130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14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3600" w:type="dxa"/>
            <w:vAlign w:val="bottom"/>
            <w:shd w:val="clear" w:color="auto" w:fill="F3F3F3"/>
          </w:tcPr>
          <w:p>
            <w:pPr>
              <w:ind w:left="140"/>
              <w:spacing w:after="0" w:line="167" w:lineRule="exact"/>
              <w:rPr>
                <w:sz w:val="20"/>
                <w:szCs w:val="20"/>
                <w:color w:val="auto"/>
              </w:rPr>
            </w:pPr>
            <w:r>
              <w:rPr>
                <w:rFonts w:ascii="Arial" w:cs="Arial" w:eastAsia="Arial" w:hAnsi="Arial"/>
                <w:sz w:val="17"/>
                <w:szCs w:val="17"/>
                <w:b w:val="1"/>
                <w:bCs w:val="1"/>
                <w:i w:val="1"/>
                <w:iCs w:val="1"/>
                <w:color w:val="auto"/>
              </w:rPr>
              <w:t>Financial instruments and other inventory</w:t>
            </w:r>
          </w:p>
        </w:tc>
        <w:tc>
          <w:tcPr>
            <w:tcW w:w="280" w:type="dxa"/>
            <w:vAlign w:val="bottom"/>
            <w:shd w:val="clear" w:color="auto" w:fill="F3F3F3"/>
          </w:tcPr>
          <w:p>
            <w:pPr>
              <w:spacing w:after="0"/>
              <w:rPr>
                <w:sz w:val="14"/>
                <w:szCs w:val="14"/>
                <w:color w:val="auto"/>
              </w:rPr>
            </w:pPr>
          </w:p>
        </w:tc>
        <w:tc>
          <w:tcPr>
            <w:tcW w:w="1160" w:type="dxa"/>
            <w:vAlign w:val="bottom"/>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280" w:type="dxa"/>
            <w:vAlign w:val="bottom"/>
            <w:shd w:val="clear" w:color="auto" w:fill="F3F3F3"/>
          </w:tcPr>
          <w:p>
            <w:pPr>
              <w:spacing w:after="0"/>
              <w:rPr>
                <w:sz w:val="14"/>
                <w:szCs w:val="14"/>
                <w:color w:val="auto"/>
              </w:rPr>
            </w:pPr>
          </w:p>
        </w:tc>
        <w:tc>
          <w:tcPr>
            <w:tcW w:w="1160" w:type="dxa"/>
            <w:vAlign w:val="bottom"/>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260" w:type="dxa"/>
            <w:vAlign w:val="bottom"/>
            <w:shd w:val="clear" w:color="auto" w:fill="F3F3F3"/>
          </w:tcPr>
          <w:p>
            <w:pPr>
              <w:spacing w:after="0"/>
              <w:rPr>
                <w:sz w:val="14"/>
                <w:szCs w:val="14"/>
                <w:color w:val="auto"/>
              </w:rPr>
            </w:pPr>
          </w:p>
        </w:tc>
        <w:tc>
          <w:tcPr>
            <w:tcW w:w="1180" w:type="dxa"/>
            <w:vAlign w:val="bottom"/>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160" w:type="dxa"/>
            <w:vAlign w:val="bottom"/>
            <w:shd w:val="clear" w:color="auto" w:fill="F3F3F3"/>
          </w:tcPr>
          <w:p>
            <w:pPr>
              <w:spacing w:after="0"/>
              <w:rPr>
                <w:sz w:val="14"/>
                <w:szCs w:val="14"/>
                <w:color w:val="auto"/>
              </w:rPr>
            </w:pPr>
          </w:p>
        </w:tc>
        <w:tc>
          <w:tcPr>
            <w:tcW w:w="1300" w:type="dxa"/>
            <w:vAlign w:val="bottom"/>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320" w:type="dxa"/>
            <w:vAlign w:val="bottom"/>
            <w:shd w:val="clear" w:color="auto" w:fill="F3F3F3"/>
          </w:tcPr>
          <w:p>
            <w:pPr>
              <w:spacing w:after="0"/>
              <w:rPr>
                <w:sz w:val="14"/>
                <w:szCs w:val="14"/>
                <w:color w:val="auto"/>
              </w:rPr>
            </w:pPr>
          </w:p>
        </w:tc>
        <w:tc>
          <w:tcPr>
            <w:tcW w:w="1140" w:type="dxa"/>
            <w:vAlign w:val="bottom"/>
            <w:shd w:val="clear" w:color="auto" w:fill="F3F3F3"/>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3600" w:type="dxa"/>
            <w:vAlign w:val="bottom"/>
            <w:shd w:val="clear" w:color="auto" w:fill="F3F3F3"/>
          </w:tcPr>
          <w:p>
            <w:pPr>
              <w:ind w:left="220"/>
              <w:spacing w:after="0"/>
              <w:rPr>
                <w:sz w:val="20"/>
                <w:szCs w:val="20"/>
                <w:color w:val="auto"/>
              </w:rPr>
            </w:pPr>
            <w:r>
              <w:rPr>
                <w:rFonts w:ascii="Arial" w:cs="Arial" w:eastAsia="Arial" w:hAnsi="Arial"/>
                <w:sz w:val="17"/>
                <w:szCs w:val="17"/>
                <w:b w:val="1"/>
                <w:bCs w:val="1"/>
                <w:i w:val="1"/>
                <w:iCs w:val="1"/>
                <w:color w:val="auto"/>
              </w:rPr>
              <w:t>positions sold, but not yet purchased:</w:t>
            </w: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1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18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60" w:type="dxa"/>
            <w:vAlign w:val="bottom"/>
            <w:shd w:val="clear" w:color="auto" w:fill="F3F3F3"/>
          </w:tcPr>
          <w:p>
            <w:pPr>
              <w:spacing w:after="0"/>
              <w:rPr>
                <w:sz w:val="19"/>
                <w:szCs w:val="19"/>
                <w:color w:val="auto"/>
              </w:rPr>
            </w:pPr>
          </w:p>
        </w:tc>
        <w:tc>
          <w:tcPr>
            <w:tcW w:w="130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14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600" w:type="dxa"/>
            <w:vAlign w:val="bottom"/>
          </w:tcPr>
          <w:p>
            <w:pPr>
              <w:ind w:left="260"/>
              <w:spacing w:after="0"/>
              <w:rPr>
                <w:sz w:val="20"/>
                <w:szCs w:val="20"/>
                <w:color w:val="auto"/>
              </w:rPr>
            </w:pPr>
            <w:r>
              <w:rPr>
                <w:rFonts w:ascii="Arial" w:cs="Arial" w:eastAsia="Arial" w:hAnsi="Arial"/>
                <w:sz w:val="17"/>
                <w:szCs w:val="17"/>
                <w:color w:val="auto"/>
              </w:rPr>
              <w:t>Corporate securities: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340"/>
              <w:spacing w:after="0"/>
              <w:rPr>
                <w:sz w:val="20"/>
                <w:szCs w:val="20"/>
                <w:color w:val="auto"/>
              </w:rPr>
            </w:pPr>
            <w:r>
              <w:rPr>
                <w:rFonts w:ascii="Arial" w:cs="Arial" w:eastAsia="Arial" w:hAnsi="Arial"/>
                <w:sz w:val="17"/>
                <w:szCs w:val="17"/>
                <w:color w:val="auto"/>
              </w:rPr>
              <w:t>Fixed income securities</w:t>
            </w:r>
          </w:p>
        </w:tc>
        <w:tc>
          <w:tcPr>
            <w:tcW w:w="280" w:type="dxa"/>
            <w:vAlign w:val="bottom"/>
            <w:shd w:val="clear" w:color="auto" w:fill="F3F3F3"/>
          </w:tcPr>
          <w:p>
            <w:pPr>
              <w:jc w:val="right"/>
              <w:ind w:right="75"/>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3,300</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jc w:val="right"/>
              <w:ind w:right="55"/>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F3F3F3"/>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gridSpan w:val="2"/>
            <w:shd w:val="clear" w:color="auto" w:fill="F3F3F3"/>
          </w:tcPr>
          <w:p>
            <w:pPr>
              <w:ind w:left="106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3,300</w:t>
            </w:r>
          </w:p>
        </w:tc>
        <w:tc>
          <w:tcPr>
            <w:tcW w:w="0" w:type="dxa"/>
            <w:vAlign w:val="bottom"/>
          </w:tcPr>
          <w:p>
            <w:pPr>
              <w:spacing w:after="0"/>
              <w:rPr>
                <w:sz w:val="1"/>
                <w:szCs w:val="1"/>
                <w:color w:val="auto"/>
              </w:rPr>
            </w:pPr>
          </w:p>
        </w:tc>
      </w:tr>
      <w:tr>
        <w:trPr>
          <w:trHeight w:val="227"/>
        </w:trPr>
        <w:tc>
          <w:tcPr>
            <w:tcW w:w="3600" w:type="dxa"/>
            <w:vAlign w:val="bottom"/>
          </w:tcPr>
          <w:p>
            <w:pPr>
              <w:ind w:left="260"/>
              <w:spacing w:after="0"/>
              <w:rPr>
                <w:sz w:val="20"/>
                <w:szCs w:val="20"/>
                <w:color w:val="auto"/>
              </w:rPr>
            </w:pPr>
            <w:r>
              <w:rPr>
                <w:rFonts w:ascii="Arial" w:cs="Arial" w:eastAsia="Arial" w:hAnsi="Arial"/>
                <w:sz w:val="17"/>
                <w:szCs w:val="17"/>
                <w:color w:val="auto"/>
              </w:rPr>
              <w:t>U.S. government securities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43,403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43,403</w:t>
            </w:r>
          </w:p>
        </w:tc>
        <w:tc>
          <w:tcPr>
            <w:tcW w:w="0" w:type="dxa"/>
            <w:vAlign w:val="bottom"/>
          </w:tcPr>
          <w:p>
            <w:pPr>
              <w:spacing w:after="0"/>
              <w:rPr>
                <w:sz w:val="1"/>
                <w:szCs w:val="1"/>
                <w:color w:val="auto"/>
              </w:rPr>
            </w:pPr>
          </w:p>
        </w:tc>
      </w:tr>
      <w:tr>
        <w:trPr>
          <w:trHeight w:val="232"/>
        </w:trPr>
        <w:tc>
          <w:tcPr>
            <w:tcW w:w="3600" w:type="dxa"/>
            <w:vAlign w:val="bottom"/>
            <w:shd w:val="clear" w:color="auto" w:fill="F3F3F3"/>
          </w:tcPr>
          <w:p>
            <w:pPr>
              <w:ind w:left="260"/>
              <w:spacing w:after="0"/>
              <w:rPr>
                <w:sz w:val="20"/>
                <w:szCs w:val="20"/>
                <w:color w:val="auto"/>
              </w:rPr>
            </w:pPr>
            <w:r>
              <w:rPr>
                <w:rFonts w:ascii="Arial" w:cs="Arial" w:eastAsia="Arial" w:hAnsi="Arial"/>
                <w:sz w:val="17"/>
                <w:szCs w:val="17"/>
                <w:color w:val="auto"/>
              </w:rPr>
              <w:t>Derivative contracts</w:t>
            </w:r>
          </w:p>
        </w:tc>
        <w:tc>
          <w:tcPr>
            <w:tcW w:w="280" w:type="dxa"/>
            <w:vAlign w:val="bottom"/>
            <w:shd w:val="clear" w:color="auto" w:fill="F3F3F3"/>
          </w:tcPr>
          <w:p>
            <w:pPr>
              <w:spacing w:after="0"/>
              <w:rPr>
                <w:sz w:val="20"/>
                <w:szCs w:val="20"/>
                <w:color w:val="auto"/>
              </w:rPr>
            </w:pPr>
          </w:p>
        </w:tc>
        <w:tc>
          <w:tcPr>
            <w:tcW w:w="12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1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4,039</w:t>
            </w:r>
          </w:p>
        </w:tc>
        <w:tc>
          <w:tcPr>
            <w:tcW w:w="100" w:type="dxa"/>
            <w:vAlign w:val="bottom"/>
            <w:shd w:val="clear" w:color="auto" w:fill="F3F3F3"/>
          </w:tcPr>
          <w:p>
            <w:pPr>
              <w:spacing w:after="0"/>
              <w:rPr>
                <w:sz w:val="20"/>
                <w:szCs w:val="20"/>
                <w:color w:val="auto"/>
              </w:rPr>
            </w:pPr>
          </w:p>
        </w:tc>
        <w:tc>
          <w:tcPr>
            <w:tcW w:w="260" w:type="dxa"/>
            <w:vAlign w:val="bottom"/>
            <w:shd w:val="clear" w:color="auto" w:fill="F3F3F3"/>
          </w:tcPr>
          <w:p>
            <w:pPr>
              <w:spacing w:after="0"/>
              <w:rPr>
                <w:sz w:val="20"/>
                <w:szCs w:val="20"/>
                <w:color w:val="auto"/>
              </w:rPr>
            </w:pPr>
          </w:p>
        </w:tc>
        <w:tc>
          <w:tcPr>
            <w:tcW w:w="11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6,534</w:t>
            </w:r>
          </w:p>
        </w:tc>
        <w:tc>
          <w:tcPr>
            <w:tcW w:w="10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300" w:type="dxa"/>
            <w:vAlign w:val="bottom"/>
            <w:shd w:val="clear" w:color="auto" w:fill="F3F3F3"/>
          </w:tcPr>
          <w:p>
            <w:pPr>
              <w:ind w:left="740"/>
              <w:spacing w:after="0"/>
              <w:rPr>
                <w:sz w:val="20"/>
                <w:szCs w:val="20"/>
                <w:color w:val="auto"/>
              </w:rPr>
            </w:pPr>
            <w:r>
              <w:rPr>
                <w:rFonts w:ascii="Arial" w:cs="Arial" w:eastAsia="Arial" w:hAnsi="Arial"/>
                <w:sz w:val="17"/>
                <w:szCs w:val="17"/>
                <w:color w:val="auto"/>
              </w:rPr>
              <w:t>(8,762)</w:t>
            </w:r>
          </w:p>
        </w:tc>
        <w:tc>
          <w:tcPr>
            <w:tcW w:w="100" w:type="dxa"/>
            <w:vAlign w:val="bottom"/>
            <w:shd w:val="clear" w:color="auto" w:fill="F3F3F3"/>
          </w:tcPr>
          <w:p>
            <w:pPr>
              <w:spacing w:after="0"/>
              <w:rPr>
                <w:sz w:val="20"/>
                <w:szCs w:val="20"/>
                <w:color w:val="auto"/>
              </w:rPr>
            </w:pPr>
          </w:p>
        </w:tc>
        <w:tc>
          <w:tcPr>
            <w:tcW w:w="320" w:type="dxa"/>
            <w:vAlign w:val="bottom"/>
            <w:shd w:val="clear" w:color="auto" w:fill="F3F3F3"/>
          </w:tcPr>
          <w:p>
            <w:pPr>
              <w:spacing w:after="0"/>
              <w:rPr>
                <w:sz w:val="20"/>
                <w:szCs w:val="20"/>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1,811</w:t>
            </w:r>
          </w:p>
        </w:tc>
        <w:tc>
          <w:tcPr>
            <w:tcW w:w="0" w:type="dxa"/>
            <w:vAlign w:val="bottom"/>
          </w:tcPr>
          <w:p>
            <w:pPr>
              <w:spacing w:after="0"/>
              <w:rPr>
                <w:sz w:val="1"/>
                <w:szCs w:val="1"/>
                <w:color w:val="auto"/>
              </w:rPr>
            </w:pPr>
          </w:p>
        </w:tc>
      </w:tr>
      <w:tr>
        <w:trPr>
          <w:trHeight w:val="147"/>
        </w:trPr>
        <w:tc>
          <w:tcPr>
            <w:tcW w:w="3600" w:type="dxa"/>
            <w:vAlign w:val="bottom"/>
          </w:tcPr>
          <w:p>
            <w:pPr>
              <w:ind w:left="140"/>
              <w:spacing w:after="0" w:line="147" w:lineRule="exact"/>
              <w:rPr>
                <w:sz w:val="20"/>
                <w:szCs w:val="20"/>
                <w:color w:val="auto"/>
              </w:rPr>
            </w:pPr>
            <w:r>
              <w:rPr>
                <w:rFonts w:ascii="Arial" w:cs="Arial" w:eastAsia="Arial" w:hAnsi="Arial"/>
                <w:sz w:val="17"/>
                <w:szCs w:val="17"/>
                <w:b w:val="1"/>
                <w:bCs w:val="1"/>
                <w:color w:val="auto"/>
              </w:rPr>
              <w:t>Total financial instruments and other</w:t>
            </w: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ind w:left="220"/>
              <w:spacing w:after="0" w:line="171" w:lineRule="exact"/>
              <w:rPr>
                <w:sz w:val="20"/>
                <w:szCs w:val="20"/>
                <w:color w:val="auto"/>
              </w:rPr>
            </w:pPr>
            <w:r>
              <w:rPr>
                <w:rFonts w:ascii="Arial" w:cs="Arial" w:eastAsia="Arial" w:hAnsi="Arial"/>
                <w:sz w:val="17"/>
                <w:szCs w:val="17"/>
                <w:b w:val="1"/>
                <w:bCs w:val="1"/>
                <w:color w:val="auto"/>
              </w:rPr>
              <w:t>inventory positions sold, but not yet</w:t>
            </w: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43,403</w:t>
            </w:r>
          </w:p>
        </w:tc>
        <w:tc>
          <w:tcPr>
            <w:tcW w:w="100" w:type="dxa"/>
            <w:vAlign w:val="bottom"/>
          </w:tcPr>
          <w:p>
            <w:pPr>
              <w:spacing w:after="0"/>
              <w:rPr>
                <w:sz w:val="14"/>
                <w:szCs w:val="14"/>
                <w:color w:val="auto"/>
              </w:rPr>
            </w:pP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7,339</w:t>
            </w:r>
          </w:p>
        </w:tc>
        <w:tc>
          <w:tcPr>
            <w:tcW w:w="100" w:type="dxa"/>
            <w:vAlign w:val="bottom"/>
          </w:tcPr>
          <w:p>
            <w:pPr>
              <w:spacing w:after="0"/>
              <w:rPr>
                <w:sz w:val="14"/>
                <w:szCs w:val="14"/>
                <w:color w:val="auto"/>
              </w:rPr>
            </w:pPr>
          </w:p>
        </w:tc>
        <w:tc>
          <w:tcPr>
            <w:tcW w:w="260" w:type="dxa"/>
            <w:vAlign w:val="bottom"/>
            <w:vMerge w:val="restart"/>
          </w:tcPr>
          <w:p>
            <w:pPr>
              <w:jc w:val="right"/>
              <w:ind w:right="55"/>
              <w:spacing w:after="0"/>
              <w:rPr>
                <w:sz w:val="20"/>
                <w:szCs w:val="20"/>
                <w:color w:val="auto"/>
              </w:rPr>
            </w:pPr>
            <w:r>
              <w:rPr>
                <w:rFonts w:ascii="Arial" w:cs="Arial" w:eastAsia="Arial" w:hAnsi="Arial"/>
                <w:sz w:val="17"/>
                <w:szCs w:val="17"/>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6,534</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vMerge w:val="restart"/>
          </w:tcPr>
          <w:p>
            <w:pPr>
              <w:ind w:left="740"/>
              <w:spacing w:after="0"/>
              <w:rPr>
                <w:sz w:val="20"/>
                <w:szCs w:val="20"/>
                <w:color w:val="auto"/>
              </w:rPr>
            </w:pPr>
            <w:r>
              <w:rPr>
                <w:rFonts w:ascii="Arial" w:cs="Arial" w:eastAsia="Arial" w:hAnsi="Arial"/>
                <w:sz w:val="17"/>
                <w:szCs w:val="17"/>
                <w:color w:val="auto"/>
              </w:rPr>
              <w:t>(8,762)</w:t>
            </w:r>
          </w:p>
        </w:tc>
        <w:tc>
          <w:tcPr>
            <w:tcW w:w="100" w:type="dxa"/>
            <w:vAlign w:val="bottom"/>
          </w:tcPr>
          <w:p>
            <w:pPr>
              <w:spacing w:after="0"/>
              <w:rPr>
                <w:sz w:val="14"/>
                <w:szCs w:val="14"/>
                <w:color w:val="auto"/>
              </w:rPr>
            </w:pPr>
          </w:p>
        </w:tc>
        <w:tc>
          <w:tcPr>
            <w:tcW w:w="320" w:type="dxa"/>
            <w:vAlign w:val="bottom"/>
            <w:vMerge w:val="restart"/>
          </w:tcPr>
          <w:p>
            <w:pPr>
              <w:jc w:val="right"/>
              <w:ind w:right="115"/>
              <w:spacing w:after="0"/>
              <w:rPr>
                <w:sz w:val="20"/>
                <w:szCs w:val="20"/>
                <w:color w:val="auto"/>
              </w:rPr>
            </w:pPr>
            <w:r>
              <w:rPr>
                <w:rFonts w:ascii="Arial" w:cs="Arial" w:eastAsia="Arial" w:hAnsi="Arial"/>
                <w:sz w:val="17"/>
                <w:szCs w:val="17"/>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48,514</w:t>
            </w:r>
          </w:p>
        </w:tc>
        <w:tc>
          <w:tcPr>
            <w:tcW w:w="0" w:type="dxa"/>
            <w:vAlign w:val="bottom"/>
          </w:tcPr>
          <w:p>
            <w:pPr>
              <w:spacing w:after="0"/>
              <w:rPr>
                <w:sz w:val="1"/>
                <w:szCs w:val="1"/>
                <w:color w:val="auto"/>
              </w:rPr>
            </w:pPr>
          </w:p>
        </w:tc>
      </w:tr>
      <w:tr>
        <w:trPr>
          <w:trHeight w:val="208"/>
        </w:trPr>
        <w:tc>
          <w:tcPr>
            <w:tcW w:w="3600" w:type="dxa"/>
            <w:vAlign w:val="bottom"/>
          </w:tcPr>
          <w:p>
            <w:pPr>
              <w:ind w:left="220"/>
              <w:spacing w:after="0"/>
              <w:rPr>
                <w:sz w:val="20"/>
                <w:szCs w:val="20"/>
                <w:color w:val="auto"/>
              </w:rPr>
            </w:pPr>
            <w:r>
              <w:rPr>
                <w:rFonts w:ascii="Arial" w:cs="Arial" w:eastAsia="Arial" w:hAnsi="Arial"/>
                <w:sz w:val="17"/>
                <w:szCs w:val="17"/>
                <w:b w:val="1"/>
                <w:bCs w:val="1"/>
                <w:color w:val="auto"/>
              </w:rPr>
              <w:t>purchased</w:t>
            </w:r>
          </w:p>
        </w:tc>
        <w:tc>
          <w:tcPr>
            <w:tcW w:w="2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Represents cash collateral and the impact of netting on a counterparty basis. The Company had no securities posted as collateral to its counterparties.</w:t>
      </w:r>
    </w:p>
    <w:p>
      <w:pPr>
        <w:spacing w:after="0" w:line="57" w:lineRule="exact"/>
        <w:rPr>
          <w:rFonts w:ascii="Arial" w:cs="Arial" w:eastAsia="Arial" w:hAnsi="Arial"/>
          <w:sz w:val="15"/>
          <w:szCs w:val="15"/>
          <w:i w:val="1"/>
          <w:iCs w:val="1"/>
          <w:color w:val="auto"/>
        </w:rPr>
      </w:pPr>
    </w:p>
    <w:p>
      <w:pPr>
        <w:ind w:left="340" w:hanging="332"/>
        <w:spacing w:after="0" w:line="301" w:lineRule="auto"/>
        <w:tabs>
          <w:tab w:leader="none" w:pos="338" w:val="left"/>
        </w:tabs>
        <w:numPr>
          <w:ilvl w:val="0"/>
          <w:numId w:val="7"/>
        </w:numPr>
        <w:rPr>
          <w:rFonts w:ascii="Arial" w:cs="Arial" w:eastAsia="Arial" w:hAnsi="Arial"/>
          <w:sz w:val="15"/>
          <w:szCs w:val="15"/>
          <w:i w:val="1"/>
          <w:iCs w:val="1"/>
          <w:color w:val="auto"/>
        </w:rPr>
      </w:pPr>
      <w:r>
        <w:rPr>
          <w:rFonts w:ascii="Arial" w:cs="Arial" w:eastAsia="Arial" w:hAnsi="Arial"/>
          <w:sz w:val="15"/>
          <w:szCs w:val="15"/>
          <w:i w:val="1"/>
          <w:iCs w:val="1"/>
          <w:color w:val="auto"/>
        </w:rPr>
        <w:t>Includes noncontrolling interests of $216.8 million attributable to unrelated third-party ownership in consolidated alternative asset management funds, of which $171.8 million is classified as Level III.</w:t>
      </w:r>
    </w:p>
    <w:p>
      <w:pPr>
        <w:spacing w:after="0" w:line="170"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The carrying values of the Company's cash, receivables and payables either from or to brokers, dealers and clearing organizations, and short-term financings approximate fair value due to either their liquid or short-term nature.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6"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following table summarizes the changes in fair value associated with Level III financial instruments held at the beginning or end of the periods presented: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7"/>
                <w:szCs w:val="17"/>
                <w:b w:val="1"/>
                <w:bCs w:val="1"/>
                <w:color w:val="auto"/>
                <w:w w:val="99"/>
              </w:rPr>
              <w:t>Level III</w:t>
            </w: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6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Assets</w:t>
            </w:r>
          </w:p>
        </w:tc>
        <w:tc>
          <w:tcPr>
            <w:tcW w:w="1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Liabilities</w:t>
            </w:r>
          </w:p>
        </w:tc>
        <w:tc>
          <w:tcPr>
            <w:tcW w:w="0" w:type="dxa"/>
            <w:vAlign w:val="bottom"/>
          </w:tcPr>
          <w:p>
            <w:pPr>
              <w:spacing w:after="0"/>
              <w:rPr>
                <w:sz w:val="1"/>
                <w:szCs w:val="1"/>
                <w:color w:val="auto"/>
              </w:rPr>
            </w:pPr>
          </w:p>
        </w:tc>
      </w:tr>
      <w:tr>
        <w:trPr>
          <w:trHeight w:val="160"/>
        </w:trPr>
        <w:tc>
          <w:tcPr>
            <w:tcW w:w="5560" w:type="dxa"/>
            <w:vAlign w:val="bottom"/>
          </w:tcPr>
          <w:p>
            <w:pPr>
              <w:spacing w:after="0"/>
              <w:rPr>
                <w:sz w:val="13"/>
                <w:szCs w:val="13"/>
                <w:color w:val="auto"/>
              </w:rPr>
            </w:pPr>
          </w:p>
        </w:tc>
        <w:tc>
          <w:tcPr>
            <w:tcW w:w="1920" w:type="dxa"/>
            <w:vAlign w:val="bottom"/>
            <w:gridSpan w:val="3"/>
            <w:vMerge w:val="restart"/>
          </w:tcPr>
          <w:p>
            <w:pPr>
              <w:ind w:left="100"/>
              <w:spacing w:after="0"/>
              <w:rPr>
                <w:sz w:val="20"/>
                <w:szCs w:val="20"/>
                <w:color w:val="auto"/>
              </w:rPr>
            </w:pPr>
            <w:r>
              <w:rPr>
                <w:rFonts w:ascii="Arial" w:cs="Arial" w:eastAsia="Arial" w:hAnsi="Arial"/>
                <w:sz w:val="17"/>
                <w:szCs w:val="17"/>
                <w:b w:val="1"/>
                <w:bCs w:val="1"/>
                <w:color w:val="auto"/>
              </w:rPr>
              <w:t>Derivative Contracts</w:t>
            </w:r>
          </w:p>
        </w:tc>
        <w:tc>
          <w:tcPr>
            <w:tcW w:w="280" w:type="dxa"/>
            <w:vAlign w:val="bottom"/>
          </w:tcPr>
          <w:p>
            <w:pPr>
              <w:spacing w:after="0"/>
              <w:rPr>
                <w:sz w:val="13"/>
                <w:szCs w:val="13"/>
                <w:color w:val="auto"/>
              </w:rPr>
            </w:pPr>
          </w:p>
        </w:tc>
        <w:tc>
          <w:tcPr>
            <w:tcW w:w="1560" w:type="dxa"/>
            <w:vAlign w:val="bottom"/>
          </w:tcPr>
          <w:p>
            <w:pPr>
              <w:jc w:val="right"/>
              <w:ind w:right="255"/>
              <w:spacing w:after="0" w:line="160" w:lineRule="exact"/>
              <w:rPr>
                <w:sz w:val="20"/>
                <w:szCs w:val="20"/>
                <w:color w:val="auto"/>
              </w:rPr>
            </w:pPr>
            <w:r>
              <w:rPr>
                <w:rFonts w:ascii="Arial" w:cs="Arial" w:eastAsia="Arial" w:hAnsi="Arial"/>
                <w:sz w:val="17"/>
                <w:szCs w:val="17"/>
                <w:b w:val="1"/>
                <w:bCs w:val="1"/>
                <w:color w:val="auto"/>
              </w:rPr>
              <w:t>Investments at</w:t>
            </w:r>
          </w:p>
        </w:tc>
        <w:tc>
          <w:tcPr>
            <w:tcW w:w="100" w:type="dxa"/>
            <w:vAlign w:val="bottom"/>
          </w:tcPr>
          <w:p>
            <w:pPr>
              <w:spacing w:after="0"/>
              <w:rPr>
                <w:sz w:val="13"/>
                <w:szCs w:val="13"/>
                <w:color w:val="auto"/>
              </w:rPr>
            </w:pPr>
          </w:p>
        </w:tc>
        <w:tc>
          <w:tcPr>
            <w:tcW w:w="182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Derivative Contracts</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1920" w:type="dxa"/>
            <w:vAlign w:val="bottom"/>
            <w:gridSpan w:val="3"/>
            <w:vMerge w:val="continue"/>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Fair Value</w:t>
            </w:r>
          </w:p>
        </w:tc>
        <w:tc>
          <w:tcPr>
            <w:tcW w:w="1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6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Balance at December 31, 2025</w:t>
            </w:r>
          </w:p>
        </w:tc>
        <w:tc>
          <w:tcPr>
            <w:tcW w:w="720" w:type="dxa"/>
            <w:vAlign w:val="bottom"/>
            <w:tcBorders>
              <w:top w:val="single" w:sz="8" w:color="auto"/>
            </w:tcBorders>
            <w:shd w:val="clear" w:color="auto" w:fill="F3F3F3"/>
          </w:tcPr>
          <w:p>
            <w:pPr>
              <w:jc w:val="right"/>
              <w:ind w:right="51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2,352</w:t>
            </w:r>
          </w:p>
        </w:tc>
        <w:tc>
          <w:tcPr>
            <w:tcW w:w="80" w:type="dxa"/>
            <w:vAlign w:val="bottom"/>
            <w:tcBorders>
              <w:top w:val="single" w:sz="8" w:color="F3F3F3"/>
            </w:tcBorders>
            <w:shd w:val="clear" w:color="auto" w:fill="F3F3F3"/>
          </w:tcPr>
          <w:p>
            <w:pPr>
              <w:spacing w:after="0"/>
              <w:rPr>
                <w:sz w:val="19"/>
                <w:szCs w:val="19"/>
                <w:color w:val="auto"/>
              </w:rPr>
            </w:pPr>
          </w:p>
        </w:tc>
        <w:tc>
          <w:tcPr>
            <w:tcW w:w="280" w:type="dxa"/>
            <w:vAlign w:val="bottom"/>
            <w:tcBorders>
              <w:top w:val="single" w:sz="8" w:color="auto"/>
            </w:tcBorders>
            <w:shd w:val="clear" w:color="auto" w:fill="F3F3F3"/>
          </w:tcPr>
          <w:p>
            <w:pPr>
              <w:jc w:val="right"/>
              <w:ind w:right="75"/>
              <w:spacing w:after="0"/>
              <w:rPr>
                <w:sz w:val="20"/>
                <w:szCs w:val="20"/>
                <w:color w:val="auto"/>
              </w:rPr>
            </w:pPr>
            <w:r>
              <w:rPr>
                <w:rFonts w:ascii="Arial" w:cs="Arial" w:eastAsia="Arial" w:hAnsi="Arial"/>
                <w:sz w:val="17"/>
                <w:szCs w:val="17"/>
                <w:b w:val="1"/>
                <w:bCs w:val="1"/>
                <w:color w:val="auto"/>
              </w:rPr>
              <w:t>$</w:t>
            </w:r>
          </w:p>
        </w:tc>
        <w:tc>
          <w:tcPr>
            <w:tcW w:w="156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217,966</w:t>
            </w:r>
          </w:p>
        </w:tc>
        <w:tc>
          <w:tcPr>
            <w:tcW w:w="100" w:type="dxa"/>
            <w:vAlign w:val="bottom"/>
            <w:tcBorders>
              <w:top w:val="single" w:sz="8" w:color="F3F3F3"/>
            </w:tcBorders>
            <w:shd w:val="clear" w:color="auto" w:fill="F3F3F3"/>
          </w:tcPr>
          <w:p>
            <w:pPr>
              <w:spacing w:after="0"/>
              <w:rPr>
                <w:sz w:val="19"/>
                <w:szCs w:val="19"/>
                <w:color w:val="auto"/>
              </w:rPr>
            </w:pPr>
          </w:p>
        </w:tc>
        <w:tc>
          <w:tcPr>
            <w:tcW w:w="320" w:type="dxa"/>
            <w:vAlign w:val="bottom"/>
            <w:tcBorders>
              <w:top w:val="single" w:sz="8" w:color="auto"/>
            </w:tcBorders>
            <w:shd w:val="clear" w:color="auto" w:fill="F3F3F3"/>
          </w:tcPr>
          <w:p>
            <w:pPr>
              <w:jc w:val="right"/>
              <w:ind w:right="115"/>
              <w:spacing w:after="0"/>
              <w:rPr>
                <w:sz w:val="20"/>
                <w:szCs w:val="20"/>
                <w:color w:val="auto"/>
              </w:rPr>
            </w:pPr>
            <w:r>
              <w:rPr>
                <w:rFonts w:ascii="Arial" w:cs="Arial" w:eastAsia="Arial" w:hAnsi="Arial"/>
                <w:sz w:val="17"/>
                <w:szCs w:val="17"/>
                <w:b w:val="1"/>
                <w:bCs w:val="1"/>
                <w:color w:val="auto"/>
              </w:rPr>
              <w:t>$</w:t>
            </w:r>
          </w:p>
        </w:tc>
        <w:tc>
          <w:tcPr>
            <w:tcW w:w="150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6,534</w:t>
            </w:r>
          </w:p>
        </w:tc>
        <w:tc>
          <w:tcPr>
            <w:tcW w:w="0" w:type="dxa"/>
            <w:vAlign w:val="bottom"/>
          </w:tcPr>
          <w:p>
            <w:pPr>
              <w:spacing w:after="0"/>
              <w:rPr>
                <w:sz w:val="1"/>
                <w:szCs w:val="1"/>
                <w:color w:val="auto"/>
              </w:rPr>
            </w:pPr>
          </w:p>
        </w:tc>
      </w:tr>
      <w:tr>
        <w:trPr>
          <w:trHeight w:val="227"/>
        </w:trPr>
        <w:tc>
          <w:tcPr>
            <w:tcW w:w="5560" w:type="dxa"/>
            <w:vAlign w:val="bottom"/>
          </w:tcPr>
          <w:p>
            <w:pPr>
              <w:ind w:left="140"/>
              <w:spacing w:after="0"/>
              <w:rPr>
                <w:sz w:val="20"/>
                <w:szCs w:val="20"/>
                <w:color w:val="auto"/>
              </w:rPr>
            </w:pPr>
            <w:r>
              <w:rPr>
                <w:rFonts w:ascii="Arial" w:cs="Arial" w:eastAsia="Arial" w:hAnsi="Arial"/>
                <w:sz w:val="17"/>
                <w:szCs w:val="17"/>
                <w:color w:val="auto"/>
              </w:rPr>
              <w:t>Purchases</w:t>
            </w:r>
          </w:p>
        </w:tc>
        <w:tc>
          <w:tcPr>
            <w:tcW w:w="7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55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Sales</w:t>
            </w:r>
          </w:p>
        </w:tc>
        <w:tc>
          <w:tcPr>
            <w:tcW w:w="720" w:type="dxa"/>
            <w:vAlign w:val="bottom"/>
            <w:shd w:val="clear" w:color="auto" w:fill="F3F3F3"/>
          </w:tcPr>
          <w:p>
            <w:pPr>
              <w:spacing w:after="0"/>
              <w:rPr>
                <w:sz w:val="20"/>
                <w:szCs w:val="20"/>
                <w:color w:val="auto"/>
              </w:rPr>
            </w:pPr>
          </w:p>
        </w:tc>
        <w:tc>
          <w:tcPr>
            <w:tcW w:w="1200" w:type="dxa"/>
            <w:vAlign w:val="bottom"/>
            <w:gridSpan w:val="2"/>
            <w:shd w:val="clear" w:color="auto" w:fill="F3F3F3"/>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5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(6,279)</w:t>
            </w:r>
          </w:p>
        </w:tc>
        <w:tc>
          <w:tcPr>
            <w:tcW w:w="100" w:type="dxa"/>
            <w:vAlign w:val="bottom"/>
            <w:shd w:val="clear" w:color="auto" w:fill="F3F3F3"/>
          </w:tcPr>
          <w:p>
            <w:pPr>
              <w:spacing w:after="0"/>
              <w:rPr>
                <w:sz w:val="20"/>
                <w:szCs w:val="20"/>
                <w:color w:val="auto"/>
              </w:rPr>
            </w:pPr>
          </w:p>
        </w:tc>
        <w:tc>
          <w:tcPr>
            <w:tcW w:w="320" w:type="dxa"/>
            <w:vAlign w:val="bottom"/>
            <w:shd w:val="clear" w:color="auto" w:fill="F3F3F3"/>
          </w:tcPr>
          <w:p>
            <w:pPr>
              <w:spacing w:after="0"/>
              <w:rPr>
                <w:sz w:val="20"/>
                <w:szCs w:val="20"/>
                <w:color w:val="auto"/>
              </w:rPr>
            </w:pPr>
          </w:p>
        </w:tc>
        <w:tc>
          <w:tcPr>
            <w:tcW w:w="15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560" w:type="dxa"/>
            <w:vAlign w:val="bottom"/>
          </w:tcPr>
          <w:p>
            <w:pPr>
              <w:ind w:left="140"/>
              <w:spacing w:after="0"/>
              <w:rPr>
                <w:sz w:val="20"/>
                <w:szCs w:val="20"/>
                <w:color w:val="auto"/>
              </w:rPr>
            </w:pPr>
            <w:r>
              <w:rPr>
                <w:rFonts w:ascii="Arial" w:cs="Arial" w:eastAsia="Arial" w:hAnsi="Arial"/>
                <w:sz w:val="17"/>
                <w:szCs w:val="17"/>
                <w:color w:val="auto"/>
              </w:rPr>
              <w:t>Settlements</w:t>
            </w:r>
          </w:p>
        </w:tc>
        <w:tc>
          <w:tcPr>
            <w:tcW w:w="7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(2,825)</w:t>
            </w:r>
          </w:p>
        </w:tc>
        <w:tc>
          <w:tcPr>
            <w:tcW w:w="0" w:type="dxa"/>
            <w:vAlign w:val="bottom"/>
          </w:tcPr>
          <w:p>
            <w:pPr>
              <w:spacing w:after="0"/>
              <w:rPr>
                <w:sz w:val="1"/>
                <w:szCs w:val="1"/>
                <w:color w:val="auto"/>
              </w:rPr>
            </w:pPr>
          </w:p>
        </w:tc>
      </w:tr>
      <w:tr>
        <w:trPr>
          <w:trHeight w:val="232"/>
        </w:trPr>
        <w:tc>
          <w:tcPr>
            <w:tcW w:w="55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Transfers in (1)</w:t>
            </w:r>
          </w:p>
        </w:tc>
        <w:tc>
          <w:tcPr>
            <w:tcW w:w="720" w:type="dxa"/>
            <w:vAlign w:val="bottom"/>
            <w:shd w:val="clear" w:color="auto" w:fill="F3F3F3"/>
          </w:tcPr>
          <w:p>
            <w:pPr>
              <w:spacing w:after="0"/>
              <w:rPr>
                <w:sz w:val="20"/>
                <w:szCs w:val="20"/>
                <w:color w:val="auto"/>
              </w:rPr>
            </w:pPr>
          </w:p>
        </w:tc>
        <w:tc>
          <w:tcPr>
            <w:tcW w:w="1200" w:type="dxa"/>
            <w:vAlign w:val="bottom"/>
            <w:gridSpan w:val="2"/>
            <w:shd w:val="clear" w:color="auto" w:fill="F3F3F3"/>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6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5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560" w:type="dxa"/>
            <w:vAlign w:val="bottom"/>
          </w:tcPr>
          <w:p>
            <w:pPr>
              <w:ind w:left="140"/>
              <w:spacing w:after="0"/>
              <w:rPr>
                <w:sz w:val="20"/>
                <w:szCs w:val="20"/>
                <w:color w:val="auto"/>
              </w:rPr>
            </w:pPr>
            <w:r>
              <w:rPr>
                <w:rFonts w:ascii="Arial" w:cs="Arial" w:eastAsia="Arial" w:hAnsi="Arial"/>
                <w:sz w:val="17"/>
                <w:szCs w:val="17"/>
                <w:color w:val="auto"/>
              </w:rPr>
              <w:t>Transfers out (2)</w:t>
            </w:r>
          </w:p>
        </w:tc>
        <w:tc>
          <w:tcPr>
            <w:tcW w:w="7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55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Total realized and unrealized gains/(losses)</w:t>
            </w:r>
          </w:p>
        </w:tc>
        <w:tc>
          <w:tcPr>
            <w:tcW w:w="72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2,686</w:t>
            </w:r>
          </w:p>
        </w:tc>
        <w:tc>
          <w:tcPr>
            <w:tcW w:w="80" w:type="dxa"/>
            <w:vAlign w:val="bottom"/>
            <w:shd w:val="clear" w:color="auto" w:fill="F3F3F3"/>
          </w:tcPr>
          <w:p>
            <w:pPr>
              <w:spacing w:after="0"/>
              <w:rPr>
                <w:sz w:val="19"/>
                <w:szCs w:val="19"/>
                <w:color w:val="auto"/>
              </w:rPr>
            </w:pPr>
          </w:p>
        </w:tc>
        <w:tc>
          <w:tcPr>
            <w:tcW w:w="280" w:type="dxa"/>
            <w:vAlign w:val="bottom"/>
            <w:tcBorders>
              <w:bottom w:val="single" w:sz="8" w:color="auto"/>
            </w:tcBorders>
            <w:shd w:val="clear" w:color="auto" w:fill="F3F3F3"/>
          </w:tcPr>
          <w:p>
            <w:pPr>
              <w:spacing w:after="0"/>
              <w:rPr>
                <w:sz w:val="19"/>
                <w:szCs w:val="19"/>
                <w:color w:val="auto"/>
              </w:rPr>
            </w:pPr>
          </w:p>
        </w:tc>
        <w:tc>
          <w:tcPr>
            <w:tcW w:w="15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(594)</w:t>
            </w:r>
          </w:p>
        </w:tc>
        <w:tc>
          <w:tcPr>
            <w:tcW w:w="100" w:type="dxa"/>
            <w:vAlign w:val="bottom"/>
            <w:shd w:val="clear" w:color="auto" w:fill="F3F3F3"/>
          </w:tcPr>
          <w:p>
            <w:pPr>
              <w:spacing w:after="0"/>
              <w:rPr>
                <w:sz w:val="19"/>
                <w:szCs w:val="19"/>
                <w:color w:val="auto"/>
              </w:rPr>
            </w:pPr>
          </w:p>
        </w:tc>
        <w:tc>
          <w:tcPr>
            <w:tcW w:w="320" w:type="dxa"/>
            <w:vAlign w:val="bottom"/>
            <w:tcBorders>
              <w:bottom w:val="single" w:sz="8" w:color="auto"/>
            </w:tcBorders>
            <w:shd w:val="clear" w:color="auto" w:fill="F3F3F3"/>
          </w:tcPr>
          <w:p>
            <w:pPr>
              <w:spacing w:after="0"/>
              <w:rPr>
                <w:sz w:val="19"/>
                <w:szCs w:val="19"/>
                <w:color w:val="auto"/>
              </w:rPr>
            </w:pPr>
          </w:p>
        </w:tc>
        <w:tc>
          <w:tcPr>
            <w:tcW w:w="15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1,537</w:t>
            </w:r>
          </w:p>
        </w:tc>
        <w:tc>
          <w:tcPr>
            <w:tcW w:w="0" w:type="dxa"/>
            <w:vAlign w:val="bottom"/>
          </w:tcPr>
          <w:p>
            <w:pPr>
              <w:spacing w:after="0"/>
              <w:rPr>
                <w:sz w:val="1"/>
                <w:szCs w:val="1"/>
                <w:color w:val="auto"/>
              </w:rPr>
            </w:pPr>
          </w:p>
        </w:tc>
      </w:tr>
      <w:tr>
        <w:trPr>
          <w:trHeight w:val="225"/>
        </w:trPr>
        <w:tc>
          <w:tcPr>
            <w:tcW w:w="5560" w:type="dxa"/>
            <w:vAlign w:val="bottom"/>
          </w:tcPr>
          <w:p>
            <w:pPr>
              <w:ind w:left="20"/>
              <w:spacing w:after="0"/>
              <w:rPr>
                <w:sz w:val="20"/>
                <w:szCs w:val="20"/>
                <w:color w:val="auto"/>
              </w:rPr>
            </w:pPr>
            <w:r>
              <w:rPr>
                <w:rFonts w:ascii="Arial" w:cs="Arial" w:eastAsia="Arial" w:hAnsi="Arial"/>
                <w:sz w:val="17"/>
                <w:szCs w:val="17"/>
                <w:b w:val="1"/>
                <w:bCs w:val="1"/>
                <w:color w:val="auto"/>
              </w:rPr>
              <w:t>Balance at March 31, 2026</w:t>
            </w:r>
          </w:p>
        </w:tc>
        <w:tc>
          <w:tcPr>
            <w:tcW w:w="7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4,488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212,376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5,246</w:t>
            </w:r>
          </w:p>
        </w:tc>
        <w:tc>
          <w:tcPr>
            <w:tcW w:w="0" w:type="dxa"/>
            <w:vAlign w:val="bottom"/>
          </w:tcPr>
          <w:p>
            <w:pPr>
              <w:spacing w:after="0"/>
              <w:rPr>
                <w:sz w:val="1"/>
                <w:szCs w:val="1"/>
                <w:color w:val="auto"/>
              </w:rPr>
            </w:pPr>
          </w:p>
        </w:tc>
      </w:tr>
      <w:tr>
        <w:trPr>
          <w:trHeight w:val="20"/>
        </w:trPr>
        <w:tc>
          <w:tcPr>
            <w:tcW w:w="5560" w:type="dxa"/>
            <w:vAlign w:val="bottom"/>
            <w:tcBorders>
              <w:bottom w:val="single" w:sz="8" w:color="F3F3F3"/>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F3F3F3"/>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3F3F3"/>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60" w:type="dxa"/>
            <w:vAlign w:val="bottom"/>
            <w:shd w:val="clear" w:color="auto" w:fill="F3F3F3"/>
          </w:tcPr>
          <w:p>
            <w:pPr>
              <w:spacing w:after="0"/>
              <w:rPr>
                <w:sz w:val="20"/>
                <w:szCs w:val="20"/>
                <w:color w:val="auto"/>
              </w:rPr>
            </w:pPr>
          </w:p>
        </w:tc>
        <w:tc>
          <w:tcPr>
            <w:tcW w:w="720" w:type="dxa"/>
            <w:vAlign w:val="bottom"/>
            <w:shd w:val="clear" w:color="auto" w:fill="F3F3F3"/>
          </w:tcPr>
          <w:p>
            <w:pPr>
              <w:spacing w:after="0"/>
              <w:rPr>
                <w:sz w:val="20"/>
                <w:szCs w:val="20"/>
                <w:color w:val="auto"/>
              </w:rPr>
            </w:pPr>
          </w:p>
        </w:tc>
        <w:tc>
          <w:tcPr>
            <w:tcW w:w="1120" w:type="dxa"/>
            <w:vAlign w:val="bottom"/>
            <w:shd w:val="clear" w:color="auto" w:fill="F3F3F3"/>
          </w:tcPr>
          <w:p>
            <w:pPr>
              <w:spacing w:after="0"/>
              <w:rPr>
                <w:sz w:val="20"/>
                <w:szCs w:val="20"/>
                <w:color w:val="auto"/>
              </w:rPr>
            </w:pPr>
          </w:p>
        </w:tc>
        <w:tc>
          <w:tcPr>
            <w:tcW w:w="80" w:type="dxa"/>
            <w:vAlign w:val="bottom"/>
            <w:shd w:val="clear" w:color="auto" w:fill="F3F3F3"/>
          </w:tcPr>
          <w:p>
            <w:pPr>
              <w:spacing w:after="0"/>
              <w:rPr>
                <w:sz w:val="20"/>
                <w:szCs w:val="20"/>
                <w:color w:val="auto"/>
              </w:rPr>
            </w:pPr>
          </w:p>
        </w:tc>
        <w:tc>
          <w:tcPr>
            <w:tcW w:w="280" w:type="dxa"/>
            <w:vAlign w:val="bottom"/>
            <w:shd w:val="clear" w:color="auto" w:fill="F3F3F3"/>
          </w:tcPr>
          <w:p>
            <w:pPr>
              <w:spacing w:after="0"/>
              <w:rPr>
                <w:sz w:val="20"/>
                <w:szCs w:val="20"/>
                <w:color w:val="auto"/>
              </w:rPr>
            </w:pPr>
          </w:p>
        </w:tc>
        <w:tc>
          <w:tcPr>
            <w:tcW w:w="1560" w:type="dxa"/>
            <w:vAlign w:val="bottom"/>
            <w:shd w:val="clear" w:color="auto" w:fill="F3F3F3"/>
          </w:tcPr>
          <w:p>
            <w:pPr>
              <w:spacing w:after="0"/>
              <w:rPr>
                <w:sz w:val="20"/>
                <w:szCs w:val="20"/>
                <w:color w:val="auto"/>
              </w:rPr>
            </w:pPr>
          </w:p>
        </w:tc>
        <w:tc>
          <w:tcPr>
            <w:tcW w:w="100" w:type="dxa"/>
            <w:vAlign w:val="bottom"/>
            <w:shd w:val="clear" w:color="auto" w:fill="F3F3F3"/>
          </w:tcPr>
          <w:p>
            <w:pPr>
              <w:spacing w:after="0"/>
              <w:rPr>
                <w:sz w:val="20"/>
                <w:szCs w:val="20"/>
                <w:color w:val="auto"/>
              </w:rPr>
            </w:pPr>
          </w:p>
        </w:tc>
        <w:tc>
          <w:tcPr>
            <w:tcW w:w="320" w:type="dxa"/>
            <w:vAlign w:val="bottom"/>
            <w:shd w:val="clear" w:color="auto" w:fill="F3F3F3"/>
          </w:tcPr>
          <w:p>
            <w:pPr>
              <w:spacing w:after="0"/>
              <w:rPr>
                <w:sz w:val="20"/>
                <w:szCs w:val="20"/>
                <w:color w:val="auto"/>
              </w:rPr>
            </w:pPr>
          </w:p>
        </w:tc>
        <w:tc>
          <w:tcPr>
            <w:tcW w:w="1500" w:type="dxa"/>
            <w:vAlign w:val="bottom"/>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7"/>
                <w:szCs w:val="17"/>
                <w:b w:val="1"/>
                <w:bCs w:val="1"/>
                <w:color w:val="auto"/>
              </w:rPr>
              <w:t>Balance at December 31, 2024</w:t>
            </w:r>
          </w:p>
        </w:tc>
        <w:tc>
          <w:tcPr>
            <w:tcW w:w="720" w:type="dxa"/>
            <w:vAlign w:val="bottom"/>
          </w:tcPr>
          <w:p>
            <w:pPr>
              <w:jc w:val="right"/>
              <w:ind w:right="515"/>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7"/>
                <w:szCs w:val="17"/>
                <w:b w:val="1"/>
                <w:bCs w:val="1"/>
                <w:color w:val="auto"/>
              </w:rPr>
              <w:t>1,819</w:t>
            </w: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7"/>
                <w:szCs w:val="17"/>
                <w:b w:val="1"/>
                <w:bCs w:val="1"/>
                <w:color w:val="auto"/>
              </w:rPr>
              <w:t>176,970</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b w:val="1"/>
                <w:bCs w:val="1"/>
                <w:color w:val="auto"/>
              </w:rPr>
              <w:t>$</w:t>
            </w:r>
          </w:p>
        </w:tc>
        <w:tc>
          <w:tcPr>
            <w:tcW w:w="1500" w:type="dxa"/>
            <w:vAlign w:val="bottom"/>
          </w:tcPr>
          <w:p>
            <w:pPr>
              <w:jc w:val="right"/>
              <w:spacing w:after="0"/>
              <w:rPr>
                <w:sz w:val="20"/>
                <w:szCs w:val="20"/>
                <w:color w:val="auto"/>
              </w:rPr>
            </w:pPr>
            <w:r>
              <w:rPr>
                <w:rFonts w:ascii="Arial" w:cs="Arial" w:eastAsia="Arial" w:hAnsi="Arial"/>
                <w:sz w:val="17"/>
                <w:szCs w:val="17"/>
                <w:b w:val="1"/>
                <w:bCs w:val="1"/>
                <w:color w:val="auto"/>
              </w:rPr>
              <w:t>991</w:t>
            </w:r>
          </w:p>
        </w:tc>
        <w:tc>
          <w:tcPr>
            <w:tcW w:w="0" w:type="dxa"/>
            <w:vAlign w:val="bottom"/>
          </w:tcPr>
          <w:p>
            <w:pPr>
              <w:spacing w:after="0"/>
              <w:rPr>
                <w:sz w:val="1"/>
                <w:szCs w:val="1"/>
                <w:color w:val="auto"/>
              </w:rPr>
            </w:pPr>
          </w:p>
        </w:tc>
      </w:tr>
      <w:tr>
        <w:trPr>
          <w:trHeight w:val="229"/>
        </w:trPr>
        <w:tc>
          <w:tcPr>
            <w:tcW w:w="55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Purchases</w:t>
            </w:r>
          </w:p>
        </w:tc>
        <w:tc>
          <w:tcPr>
            <w:tcW w:w="720" w:type="dxa"/>
            <w:vAlign w:val="bottom"/>
            <w:shd w:val="clear" w:color="auto" w:fill="F3F3F3"/>
          </w:tcPr>
          <w:p>
            <w:pPr>
              <w:spacing w:after="0"/>
              <w:rPr>
                <w:sz w:val="19"/>
                <w:szCs w:val="19"/>
                <w:color w:val="auto"/>
              </w:rPr>
            </w:pPr>
          </w:p>
        </w:tc>
        <w:tc>
          <w:tcPr>
            <w:tcW w:w="1200" w:type="dxa"/>
            <w:vAlign w:val="bottom"/>
            <w:gridSpan w:val="2"/>
            <w:shd w:val="clear" w:color="auto" w:fill="F3F3F3"/>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19"/>
                <w:szCs w:val="19"/>
                <w:color w:val="auto"/>
              </w:rPr>
            </w:pPr>
          </w:p>
        </w:tc>
        <w:tc>
          <w:tcPr>
            <w:tcW w:w="15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11,486</w:t>
            </w: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5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560" w:type="dxa"/>
            <w:vAlign w:val="bottom"/>
          </w:tcPr>
          <w:p>
            <w:pPr>
              <w:ind w:left="140"/>
              <w:spacing w:after="0"/>
              <w:rPr>
                <w:sz w:val="20"/>
                <w:szCs w:val="20"/>
                <w:color w:val="auto"/>
              </w:rPr>
            </w:pPr>
            <w:r>
              <w:rPr>
                <w:rFonts w:ascii="Arial" w:cs="Arial" w:eastAsia="Arial" w:hAnsi="Arial"/>
                <w:sz w:val="17"/>
                <w:szCs w:val="17"/>
                <w:color w:val="auto"/>
              </w:rPr>
              <w:t>Sales</w:t>
            </w:r>
          </w:p>
        </w:tc>
        <w:tc>
          <w:tcPr>
            <w:tcW w:w="7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55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Settlements</w:t>
            </w:r>
          </w:p>
        </w:tc>
        <w:tc>
          <w:tcPr>
            <w:tcW w:w="720" w:type="dxa"/>
            <w:vAlign w:val="bottom"/>
            <w:shd w:val="clear" w:color="auto" w:fill="F3F3F3"/>
          </w:tcPr>
          <w:p>
            <w:pPr>
              <w:spacing w:after="0"/>
              <w:rPr>
                <w:sz w:val="20"/>
                <w:szCs w:val="20"/>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F3F3F3"/>
          </w:tcPr>
          <w:p>
            <w:pPr>
              <w:spacing w:after="0"/>
              <w:rPr>
                <w:sz w:val="20"/>
                <w:szCs w:val="20"/>
                <w:color w:val="auto"/>
              </w:rPr>
            </w:pPr>
          </w:p>
        </w:tc>
        <w:tc>
          <w:tcPr>
            <w:tcW w:w="280" w:type="dxa"/>
            <w:vAlign w:val="bottom"/>
            <w:shd w:val="clear" w:color="auto" w:fill="F3F3F3"/>
          </w:tcPr>
          <w:p>
            <w:pPr>
              <w:spacing w:after="0"/>
              <w:rPr>
                <w:sz w:val="20"/>
                <w:szCs w:val="20"/>
                <w:color w:val="auto"/>
              </w:rPr>
            </w:pPr>
          </w:p>
        </w:tc>
        <w:tc>
          <w:tcPr>
            <w:tcW w:w="166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F3F3F3"/>
          </w:tcPr>
          <w:p>
            <w:pPr>
              <w:spacing w:after="0"/>
              <w:rPr>
                <w:sz w:val="20"/>
                <w:szCs w:val="20"/>
                <w:color w:val="auto"/>
              </w:rPr>
            </w:pPr>
          </w:p>
        </w:tc>
        <w:tc>
          <w:tcPr>
            <w:tcW w:w="15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7"/>
        </w:trPr>
        <w:tc>
          <w:tcPr>
            <w:tcW w:w="5560" w:type="dxa"/>
            <w:vAlign w:val="bottom"/>
          </w:tcPr>
          <w:p>
            <w:pPr>
              <w:ind w:left="140"/>
              <w:spacing w:after="0"/>
              <w:rPr>
                <w:sz w:val="20"/>
                <w:szCs w:val="20"/>
                <w:color w:val="auto"/>
              </w:rPr>
            </w:pPr>
            <w:r>
              <w:rPr>
                <w:rFonts w:ascii="Arial" w:cs="Arial" w:eastAsia="Arial" w:hAnsi="Arial"/>
                <w:sz w:val="17"/>
                <w:szCs w:val="17"/>
                <w:color w:val="auto"/>
              </w:rPr>
              <w:t>Transfers in (1)</w:t>
            </w:r>
          </w:p>
        </w:tc>
        <w:tc>
          <w:tcPr>
            <w:tcW w:w="7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2"/>
        </w:trPr>
        <w:tc>
          <w:tcPr>
            <w:tcW w:w="55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Transfers out (2)</w:t>
            </w:r>
          </w:p>
        </w:tc>
        <w:tc>
          <w:tcPr>
            <w:tcW w:w="720" w:type="dxa"/>
            <w:vAlign w:val="bottom"/>
            <w:shd w:val="clear" w:color="auto" w:fill="F3F3F3"/>
          </w:tcPr>
          <w:p>
            <w:pPr>
              <w:spacing w:after="0"/>
              <w:rPr>
                <w:sz w:val="20"/>
                <w:szCs w:val="20"/>
                <w:color w:val="auto"/>
              </w:rPr>
            </w:pPr>
          </w:p>
        </w:tc>
        <w:tc>
          <w:tcPr>
            <w:tcW w:w="1200" w:type="dxa"/>
            <w:vAlign w:val="bottom"/>
            <w:gridSpan w:val="2"/>
            <w:shd w:val="clear" w:color="auto" w:fill="F3F3F3"/>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shd w:val="clear" w:color="auto" w:fill="F3F3F3"/>
          </w:tcPr>
          <w:p>
            <w:pPr>
              <w:spacing w:after="0"/>
              <w:rPr>
                <w:sz w:val="20"/>
                <w:szCs w:val="20"/>
                <w:color w:val="auto"/>
              </w:rPr>
            </w:pPr>
          </w:p>
        </w:tc>
        <w:tc>
          <w:tcPr>
            <w:tcW w:w="15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(8,182)</w:t>
            </w:r>
          </w:p>
        </w:tc>
        <w:tc>
          <w:tcPr>
            <w:tcW w:w="100" w:type="dxa"/>
            <w:vAlign w:val="bottom"/>
            <w:shd w:val="clear" w:color="auto" w:fill="F3F3F3"/>
          </w:tcPr>
          <w:p>
            <w:pPr>
              <w:spacing w:after="0"/>
              <w:rPr>
                <w:sz w:val="20"/>
                <w:szCs w:val="20"/>
                <w:color w:val="auto"/>
              </w:rPr>
            </w:pPr>
          </w:p>
        </w:tc>
        <w:tc>
          <w:tcPr>
            <w:tcW w:w="320" w:type="dxa"/>
            <w:vAlign w:val="bottom"/>
            <w:shd w:val="clear" w:color="auto" w:fill="F3F3F3"/>
          </w:tcPr>
          <w:p>
            <w:pPr>
              <w:spacing w:after="0"/>
              <w:rPr>
                <w:sz w:val="20"/>
                <w:szCs w:val="20"/>
                <w:color w:val="auto"/>
              </w:rPr>
            </w:pPr>
          </w:p>
        </w:tc>
        <w:tc>
          <w:tcPr>
            <w:tcW w:w="15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556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Total realized and unrealized gains/(losses)</w:t>
            </w: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2,637</w:t>
            </w:r>
          </w:p>
        </w:tc>
        <w:tc>
          <w:tcPr>
            <w:tcW w:w="80" w:type="dxa"/>
            <w:vAlign w:val="bottom"/>
            <w:tcBorders>
              <w:bottom w:val="single" w:sz="8" w:color="F3F3F3"/>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(14,010)</w:t>
            </w:r>
          </w:p>
        </w:tc>
        <w:tc>
          <w:tcPr>
            <w:tcW w:w="100" w:type="dxa"/>
            <w:vAlign w:val="bottom"/>
            <w:tcBorders>
              <w:bottom w:val="single" w:sz="8" w:color="F3F3F3"/>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1,329</w:t>
            </w:r>
          </w:p>
        </w:tc>
        <w:tc>
          <w:tcPr>
            <w:tcW w:w="0" w:type="dxa"/>
            <w:vAlign w:val="bottom"/>
          </w:tcPr>
          <w:p>
            <w:pPr>
              <w:spacing w:after="0"/>
              <w:rPr>
                <w:sz w:val="1"/>
                <w:szCs w:val="1"/>
                <w:color w:val="auto"/>
              </w:rPr>
            </w:pPr>
          </w:p>
        </w:tc>
      </w:tr>
      <w:tr>
        <w:trPr>
          <w:trHeight w:val="250"/>
        </w:trPr>
        <w:tc>
          <w:tcPr>
            <w:tcW w:w="556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Balance at March 31, 2025</w:t>
            </w:r>
          </w:p>
        </w:tc>
        <w:tc>
          <w:tcPr>
            <w:tcW w:w="720" w:type="dxa"/>
            <w:vAlign w:val="bottom"/>
            <w:tcBorders>
              <w:bottom w:val="single" w:sz="8" w:color="auto"/>
            </w:tcBorders>
            <w:shd w:val="clear" w:color="auto" w:fill="F3F3F3"/>
          </w:tcPr>
          <w:p>
            <w:pPr>
              <w:jc w:val="right"/>
              <w:ind w:right="51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4,356</w:t>
            </w:r>
          </w:p>
        </w:tc>
        <w:tc>
          <w:tcPr>
            <w:tcW w:w="80" w:type="dxa"/>
            <w:vAlign w:val="bottom"/>
            <w:tcBorders>
              <w:bottom w:val="single" w:sz="8" w:color="F3F3F3"/>
            </w:tcBorders>
            <w:shd w:val="clear" w:color="auto" w:fill="F3F3F3"/>
          </w:tcPr>
          <w:p>
            <w:pPr>
              <w:spacing w:after="0"/>
              <w:rPr>
                <w:sz w:val="21"/>
                <w:szCs w:val="21"/>
                <w:color w:val="auto"/>
              </w:rPr>
            </w:pPr>
          </w:p>
        </w:tc>
        <w:tc>
          <w:tcPr>
            <w:tcW w:w="280" w:type="dxa"/>
            <w:vAlign w:val="bottom"/>
            <w:tcBorders>
              <w:bottom w:val="single" w:sz="8" w:color="auto"/>
            </w:tcBorders>
            <w:shd w:val="clear" w:color="auto" w:fill="F3F3F3"/>
          </w:tcPr>
          <w:p>
            <w:pPr>
              <w:jc w:val="right"/>
              <w:ind w:right="75"/>
              <w:spacing w:after="0"/>
              <w:rPr>
                <w:sz w:val="20"/>
                <w:szCs w:val="20"/>
                <w:color w:val="auto"/>
              </w:rPr>
            </w:pPr>
            <w:r>
              <w:rPr>
                <w:rFonts w:ascii="Arial" w:cs="Arial" w:eastAsia="Arial" w:hAnsi="Arial"/>
                <w:sz w:val="17"/>
                <w:szCs w:val="17"/>
                <w:b w:val="1"/>
                <w:bCs w:val="1"/>
                <w:color w:val="auto"/>
              </w:rPr>
              <w:t>$</w:t>
            </w:r>
          </w:p>
        </w:tc>
        <w:tc>
          <w:tcPr>
            <w:tcW w:w="15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166,264</w:t>
            </w:r>
          </w:p>
        </w:tc>
        <w:tc>
          <w:tcPr>
            <w:tcW w:w="100" w:type="dxa"/>
            <w:vAlign w:val="bottom"/>
            <w:tcBorders>
              <w:bottom w:val="single" w:sz="8" w:color="F3F3F3"/>
            </w:tcBorders>
            <w:shd w:val="clear" w:color="auto" w:fill="F3F3F3"/>
          </w:tcPr>
          <w:p>
            <w:pPr>
              <w:spacing w:after="0"/>
              <w:rPr>
                <w:sz w:val="21"/>
                <w:szCs w:val="21"/>
                <w:color w:val="auto"/>
              </w:rPr>
            </w:pPr>
          </w:p>
        </w:tc>
        <w:tc>
          <w:tcPr>
            <w:tcW w:w="320" w:type="dxa"/>
            <w:vAlign w:val="bottom"/>
            <w:tcBorders>
              <w:bottom w:val="single" w:sz="8" w:color="auto"/>
            </w:tcBorders>
            <w:shd w:val="clear" w:color="auto" w:fill="F3F3F3"/>
          </w:tcPr>
          <w:p>
            <w:pPr>
              <w:jc w:val="right"/>
              <w:ind w:right="115"/>
              <w:spacing w:after="0"/>
              <w:rPr>
                <w:sz w:val="20"/>
                <w:szCs w:val="20"/>
                <w:color w:val="auto"/>
              </w:rPr>
            </w:pPr>
            <w:r>
              <w:rPr>
                <w:rFonts w:ascii="Arial" w:cs="Arial" w:eastAsia="Arial" w:hAnsi="Arial"/>
                <w:sz w:val="17"/>
                <w:szCs w:val="17"/>
                <w:b w:val="1"/>
                <w:bCs w:val="1"/>
                <w:color w:val="auto"/>
              </w:rPr>
              <w:t>$</w:t>
            </w:r>
          </w:p>
        </w:tc>
        <w:tc>
          <w:tcPr>
            <w:tcW w:w="15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2,278</w:t>
            </w:r>
          </w:p>
        </w:tc>
        <w:tc>
          <w:tcPr>
            <w:tcW w:w="0" w:type="dxa"/>
            <w:vAlign w:val="bottom"/>
          </w:tcPr>
          <w:p>
            <w:pPr>
              <w:spacing w:after="0"/>
              <w:rPr>
                <w:sz w:val="1"/>
                <w:szCs w:val="1"/>
                <w:color w:val="auto"/>
              </w:rPr>
            </w:pPr>
          </w:p>
        </w:tc>
      </w:tr>
      <w:tr>
        <w:trPr>
          <w:trHeight w:val="20"/>
        </w:trPr>
        <w:tc>
          <w:tcPr>
            <w:tcW w:w="5560" w:type="dxa"/>
            <w:vAlign w:val="bottom"/>
            <w:tcBorders>
              <w:top w:val="single" w:sz="8" w:color="F3F3F3"/>
            </w:tcBorders>
          </w:tcPr>
          <w:p>
            <w:pPr>
              <w:spacing w:after="0" w:line="20" w:lineRule="exact"/>
              <w:rPr>
                <w:sz w:val="1"/>
                <w:szCs w:val="1"/>
                <w:color w:val="auto"/>
              </w:rPr>
            </w:pPr>
          </w:p>
        </w:tc>
        <w:tc>
          <w:tcPr>
            <w:tcW w:w="72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c>
          <w:tcPr>
            <w:tcW w:w="80" w:type="dxa"/>
            <w:vAlign w:val="bottom"/>
            <w:tcBorders>
              <w:top w:val="single" w:sz="8" w:color="F3F3F3"/>
            </w:tcBorders>
          </w:tcPr>
          <w:p>
            <w:pPr>
              <w:spacing w:after="0" w:line="20" w:lineRule="exact"/>
              <w:rPr>
                <w:sz w:val="1"/>
                <w:szCs w:val="1"/>
                <w:color w:val="auto"/>
              </w:rPr>
            </w:pPr>
          </w:p>
        </w:tc>
        <w:tc>
          <w:tcPr>
            <w:tcW w:w="280" w:type="dxa"/>
            <w:vAlign w:val="bottom"/>
            <w:tcBorders>
              <w:top w:val="single" w:sz="8" w:color="F3F3F3"/>
              <w:bottom w:val="single" w:sz="8" w:color="auto"/>
            </w:tcBorders>
          </w:tcPr>
          <w:p>
            <w:pPr>
              <w:spacing w:after="0" w:line="20" w:lineRule="exact"/>
              <w:rPr>
                <w:sz w:val="1"/>
                <w:szCs w:val="1"/>
                <w:color w:val="auto"/>
              </w:rPr>
            </w:pPr>
          </w:p>
        </w:tc>
        <w:tc>
          <w:tcPr>
            <w:tcW w:w="156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320" w:type="dxa"/>
            <w:vAlign w:val="bottom"/>
            <w:tcBorders>
              <w:top w:val="single" w:sz="8" w:color="F3F3F3"/>
              <w:bottom w:val="single" w:sz="8" w:color="auto"/>
            </w:tcBorders>
          </w:tcPr>
          <w:p>
            <w:pPr>
              <w:spacing w:after="0" w:line="20" w:lineRule="exact"/>
              <w:rPr>
                <w:sz w:val="1"/>
                <w:szCs w:val="1"/>
                <w:color w:val="auto"/>
              </w:rPr>
            </w:pPr>
          </w:p>
        </w:tc>
        <w:tc>
          <w:tcPr>
            <w:tcW w:w="1500" w:type="dxa"/>
            <w:vAlign w:val="bottom"/>
            <w:tcBorders>
              <w:top w:val="single" w:sz="8" w:color="F3F3F3"/>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Unrealized gains/(losses) for assets/liabilities held at:</w:t>
            </w:r>
          </w:p>
        </w:tc>
        <w:tc>
          <w:tcPr>
            <w:tcW w:w="72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c>
          <w:tcPr>
            <w:tcW w:w="8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5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50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140"/>
              <w:spacing w:after="0"/>
              <w:rPr>
                <w:sz w:val="20"/>
                <w:szCs w:val="20"/>
                <w:color w:val="auto"/>
              </w:rPr>
            </w:pPr>
            <w:r>
              <w:rPr>
                <w:rFonts w:ascii="Arial" w:cs="Arial" w:eastAsia="Arial" w:hAnsi="Arial"/>
                <w:sz w:val="17"/>
                <w:szCs w:val="17"/>
                <w:b w:val="1"/>
                <w:bCs w:val="1"/>
                <w:color w:val="auto"/>
              </w:rPr>
              <w:t>March 31, 2026</w:t>
            </w:r>
          </w:p>
        </w:tc>
        <w:tc>
          <w:tcPr>
            <w:tcW w:w="720" w:type="dxa"/>
            <w:vAlign w:val="bottom"/>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3,043</w:t>
            </w:r>
          </w:p>
        </w:tc>
        <w:tc>
          <w:tcPr>
            <w:tcW w:w="8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(4,810)</w:t>
            </w:r>
          </w:p>
        </w:tc>
        <w:tc>
          <w:tcPr>
            <w:tcW w:w="10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1,359</w:t>
            </w:r>
          </w:p>
        </w:tc>
        <w:tc>
          <w:tcPr>
            <w:tcW w:w="0" w:type="dxa"/>
            <w:vAlign w:val="bottom"/>
          </w:tcPr>
          <w:p>
            <w:pPr>
              <w:spacing w:after="0"/>
              <w:rPr>
                <w:sz w:val="1"/>
                <w:szCs w:val="1"/>
                <w:color w:val="auto"/>
              </w:rPr>
            </w:pPr>
          </w:p>
        </w:tc>
      </w:tr>
      <w:tr>
        <w:trPr>
          <w:trHeight w:val="230"/>
        </w:trPr>
        <w:tc>
          <w:tcPr>
            <w:tcW w:w="5560" w:type="dxa"/>
            <w:vAlign w:val="bottom"/>
            <w:shd w:val="clear" w:color="auto" w:fill="F3F3F3"/>
          </w:tcPr>
          <w:p>
            <w:pPr>
              <w:ind w:left="140"/>
              <w:spacing w:after="0"/>
              <w:rPr>
                <w:sz w:val="20"/>
                <w:szCs w:val="20"/>
                <w:color w:val="auto"/>
              </w:rPr>
            </w:pPr>
            <w:r>
              <w:rPr>
                <w:rFonts w:ascii="Arial" w:cs="Arial" w:eastAsia="Arial" w:hAnsi="Arial"/>
                <w:sz w:val="17"/>
                <w:szCs w:val="17"/>
                <w:b w:val="1"/>
                <w:bCs w:val="1"/>
                <w:color w:val="auto"/>
              </w:rPr>
              <w:t>March 31, 2025</w:t>
            </w:r>
          </w:p>
        </w:tc>
        <w:tc>
          <w:tcPr>
            <w:tcW w:w="720" w:type="dxa"/>
            <w:vAlign w:val="bottom"/>
            <w:shd w:val="clear" w:color="auto" w:fill="F3F3F3"/>
          </w:tcPr>
          <w:p>
            <w:pPr>
              <w:jc w:val="right"/>
              <w:ind w:right="5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3,000</w:t>
            </w:r>
          </w:p>
        </w:tc>
        <w:tc>
          <w:tcPr>
            <w:tcW w:w="80" w:type="dxa"/>
            <w:vAlign w:val="bottom"/>
            <w:shd w:val="clear" w:color="auto" w:fill="F3F3F3"/>
          </w:tcPr>
          <w:p>
            <w:pPr>
              <w:spacing w:after="0"/>
              <w:rPr>
                <w:sz w:val="19"/>
                <w:szCs w:val="19"/>
                <w:color w:val="auto"/>
              </w:rPr>
            </w:pPr>
          </w:p>
        </w:tc>
        <w:tc>
          <w:tcPr>
            <w:tcW w:w="280" w:type="dxa"/>
            <w:vAlign w:val="bottom"/>
            <w:shd w:val="clear" w:color="auto" w:fill="F3F3F3"/>
          </w:tcPr>
          <w:p>
            <w:pPr>
              <w:jc w:val="right"/>
              <w:ind w:right="75"/>
              <w:spacing w:after="0"/>
              <w:rPr>
                <w:sz w:val="20"/>
                <w:szCs w:val="20"/>
                <w:color w:val="auto"/>
              </w:rPr>
            </w:pPr>
            <w:r>
              <w:rPr>
                <w:rFonts w:ascii="Arial" w:cs="Arial" w:eastAsia="Arial" w:hAnsi="Arial"/>
                <w:sz w:val="17"/>
                <w:szCs w:val="17"/>
                <w:color w:val="auto"/>
              </w:rPr>
              <w:t>$</w:t>
            </w:r>
          </w:p>
        </w:tc>
        <w:tc>
          <w:tcPr>
            <w:tcW w:w="15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(14,010)</w:t>
            </w: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jc w:val="right"/>
              <w:ind w:right="115"/>
              <w:spacing w:after="0"/>
              <w:rPr>
                <w:sz w:val="20"/>
                <w:szCs w:val="20"/>
                <w:color w:val="auto"/>
              </w:rPr>
            </w:pPr>
            <w:r>
              <w:rPr>
                <w:rFonts w:ascii="Arial" w:cs="Arial" w:eastAsia="Arial" w:hAnsi="Arial"/>
                <w:sz w:val="17"/>
                <w:szCs w:val="17"/>
                <w:color w:val="auto"/>
              </w:rPr>
              <w:t>$</w:t>
            </w:r>
          </w:p>
        </w:tc>
        <w:tc>
          <w:tcPr>
            <w:tcW w:w="15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1,638</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Transfers into Level III are primarily due to observable inputs becoming unobservable.</w:t>
      </w:r>
    </w:p>
    <w:p>
      <w:pPr>
        <w:spacing w:after="0" w:line="57" w:lineRule="exact"/>
        <w:rPr>
          <w:rFonts w:ascii="Arial" w:cs="Arial" w:eastAsia="Arial" w:hAnsi="Arial"/>
          <w:sz w:val="15"/>
          <w:szCs w:val="15"/>
          <w:i w:val="1"/>
          <w:iCs w:val="1"/>
          <w:color w:val="auto"/>
        </w:rPr>
      </w:pPr>
    </w:p>
    <w:p>
      <w:pPr>
        <w:ind w:left="320" w:hanging="312"/>
        <w:spacing w:after="0"/>
        <w:tabs>
          <w:tab w:leader="none" w:pos="320" w:val="left"/>
        </w:tabs>
        <w:numPr>
          <w:ilvl w:val="0"/>
          <w:numId w:val="8"/>
        </w:numPr>
        <w:rPr>
          <w:rFonts w:ascii="Arial" w:cs="Arial" w:eastAsia="Arial" w:hAnsi="Arial"/>
          <w:sz w:val="15"/>
          <w:szCs w:val="15"/>
          <w:i w:val="1"/>
          <w:iCs w:val="1"/>
          <w:color w:val="auto"/>
        </w:rPr>
      </w:pPr>
      <w:r>
        <w:rPr>
          <w:rFonts w:ascii="Arial" w:cs="Arial" w:eastAsia="Arial" w:hAnsi="Arial"/>
          <w:sz w:val="15"/>
          <w:szCs w:val="15"/>
          <w:i w:val="1"/>
          <w:iCs w:val="1"/>
          <w:color w:val="auto"/>
        </w:rPr>
        <w:t>Transfers out of Level III are primarily due to unobservable inputs becoming observable.</w:t>
      </w:r>
    </w:p>
    <w:p>
      <w:pPr>
        <w:spacing w:after="0" w:line="25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Realized and unrealized gains/(losses) related to financial instruments, with the exception of customer matched-book derivatives, are reported in institutional brokerage on the consolidated statements of operations. Realized and unrealized gains/(losses) related to customer matched-book derivatives are reported in investment banking. Realized and unrealized gains/(losses) related to investments are principally reported in investment income/(loss)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quantitative information about the significant unobservable inputs used in the fair value measurement of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Company's Level III financial instruments as of March 31, 2026:</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60" w:type="dxa"/>
            <w:vAlign w:val="bottom"/>
          </w:tcPr>
          <w:p>
            <w:pPr>
              <w:spacing w:after="0"/>
              <w:rPr>
                <w:sz w:val="19"/>
                <w:szCs w:val="19"/>
                <w:color w:val="auto"/>
              </w:rPr>
            </w:pPr>
          </w:p>
        </w:tc>
        <w:tc>
          <w:tcPr>
            <w:tcW w:w="2200" w:type="dxa"/>
            <w:vAlign w:val="bottom"/>
            <w:gridSpan w:val="2"/>
          </w:tcPr>
          <w:p>
            <w:pPr>
              <w:ind w:left="680"/>
              <w:spacing w:after="0"/>
              <w:rPr>
                <w:sz w:val="20"/>
                <w:szCs w:val="20"/>
                <w:color w:val="auto"/>
              </w:rPr>
            </w:pPr>
            <w:r>
              <w:rPr>
                <w:rFonts w:ascii="Arial" w:cs="Arial" w:eastAsia="Arial" w:hAnsi="Arial"/>
                <w:sz w:val="17"/>
                <w:szCs w:val="17"/>
                <w:b w:val="1"/>
                <w:bCs w:val="1"/>
                <w:color w:val="auto"/>
              </w:rPr>
              <w:t>Valuation</w:t>
            </w: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0" w:type="dxa"/>
            <w:vAlign w:val="bottom"/>
          </w:tcPr>
          <w:p>
            <w:pPr>
              <w:spacing w:after="0"/>
              <w:rPr>
                <w:sz w:val="1"/>
                <w:szCs w:val="1"/>
                <w:color w:val="auto"/>
              </w:rPr>
            </w:pPr>
          </w:p>
        </w:tc>
      </w:tr>
      <w:tr>
        <w:trPr>
          <w:trHeight w:val="236"/>
        </w:trPr>
        <w:tc>
          <w:tcPr>
            <w:tcW w:w="2960" w:type="dxa"/>
            <w:vAlign w:val="bottom"/>
          </w:tcPr>
          <w:p>
            <w:pPr>
              <w:spacing w:after="0"/>
              <w:rPr>
                <w:sz w:val="20"/>
                <w:szCs w:val="20"/>
                <w:color w:val="auto"/>
              </w:rPr>
            </w:pPr>
          </w:p>
        </w:tc>
        <w:tc>
          <w:tcPr>
            <w:tcW w:w="2200" w:type="dxa"/>
            <w:vAlign w:val="bottom"/>
            <w:gridSpan w:val="2"/>
          </w:tcPr>
          <w:p>
            <w:pPr>
              <w:ind w:left="640"/>
              <w:spacing w:after="0"/>
              <w:rPr>
                <w:sz w:val="20"/>
                <w:szCs w:val="20"/>
                <w:color w:val="auto"/>
              </w:rPr>
            </w:pPr>
            <w:r>
              <w:rPr>
                <w:rFonts w:ascii="Arial" w:cs="Arial" w:eastAsia="Arial" w:hAnsi="Arial"/>
                <w:sz w:val="17"/>
                <w:szCs w:val="17"/>
                <w:b w:val="1"/>
                <w:bCs w:val="1"/>
                <w:color w:val="auto"/>
              </w:rPr>
              <w:t>Technique</w:t>
            </w:r>
          </w:p>
        </w:tc>
        <w:tc>
          <w:tcPr>
            <w:tcW w:w="3280" w:type="dxa"/>
            <w:vAlign w:val="bottom"/>
            <w:gridSpan w:val="2"/>
          </w:tcPr>
          <w:p>
            <w:pPr>
              <w:ind w:left="800"/>
              <w:spacing w:after="0"/>
              <w:rPr>
                <w:sz w:val="20"/>
                <w:szCs w:val="20"/>
                <w:color w:val="auto"/>
              </w:rPr>
            </w:pPr>
            <w:r>
              <w:rPr>
                <w:rFonts w:ascii="Arial" w:cs="Arial" w:eastAsia="Arial" w:hAnsi="Arial"/>
                <w:sz w:val="17"/>
                <w:szCs w:val="17"/>
                <w:b w:val="1"/>
                <w:bCs w:val="1"/>
                <w:color w:val="auto"/>
              </w:rPr>
              <w:t>Unobservable Input</w:t>
            </w:r>
          </w:p>
        </w:tc>
        <w:tc>
          <w:tcPr>
            <w:tcW w:w="360" w:type="dxa"/>
            <w:vAlign w:val="bottom"/>
          </w:tcPr>
          <w:p>
            <w:pPr>
              <w:spacing w:after="0"/>
              <w:rPr>
                <w:sz w:val="20"/>
                <w:szCs w:val="20"/>
                <w:color w:val="auto"/>
              </w:rPr>
            </w:pPr>
          </w:p>
        </w:tc>
        <w:tc>
          <w:tcPr>
            <w:tcW w:w="1080" w:type="dxa"/>
            <w:vAlign w:val="bottom"/>
            <w:gridSpan w:val="3"/>
          </w:tcPr>
          <w:p>
            <w:pPr>
              <w:jc w:val="center"/>
              <w:ind w:right="480"/>
              <w:spacing w:after="0"/>
              <w:rPr>
                <w:sz w:val="20"/>
                <w:szCs w:val="20"/>
                <w:color w:val="auto"/>
              </w:rPr>
            </w:pPr>
            <w:r>
              <w:rPr>
                <w:rFonts w:ascii="Arial" w:cs="Arial" w:eastAsia="Arial" w:hAnsi="Arial"/>
                <w:sz w:val="17"/>
                <w:szCs w:val="17"/>
                <w:b w:val="1"/>
                <w:bCs w:val="1"/>
                <w:color w:val="auto"/>
                <w:w w:val="99"/>
              </w:rPr>
              <w:t>Range</w:t>
            </w:r>
          </w:p>
        </w:tc>
        <w:tc>
          <w:tcPr>
            <w:tcW w:w="1360" w:type="dxa"/>
            <w:vAlign w:val="bottom"/>
          </w:tcPr>
          <w:p>
            <w:pPr>
              <w:jc w:val="center"/>
              <w:spacing w:after="0"/>
              <w:rPr>
                <w:sz w:val="20"/>
                <w:szCs w:val="20"/>
                <w:color w:val="auto"/>
              </w:rPr>
            </w:pPr>
            <w:r>
              <w:rPr>
                <w:rFonts w:ascii="Arial" w:cs="Arial" w:eastAsia="Arial" w:hAnsi="Arial"/>
                <w:sz w:val="17"/>
                <w:szCs w:val="17"/>
                <w:b w:val="1"/>
                <w:bCs w:val="1"/>
                <w:color w:val="auto"/>
                <w:w w:val="99"/>
              </w:rPr>
              <w:t>Average (1)</w:t>
            </w:r>
          </w:p>
        </w:tc>
        <w:tc>
          <w:tcPr>
            <w:tcW w:w="0" w:type="dxa"/>
            <w:vAlign w:val="bottom"/>
          </w:tcPr>
          <w:p>
            <w:pPr>
              <w:spacing w:after="0"/>
              <w:rPr>
                <w:sz w:val="1"/>
                <w:szCs w:val="1"/>
                <w:color w:val="auto"/>
              </w:rPr>
            </w:pPr>
          </w:p>
        </w:tc>
      </w:tr>
      <w:tr>
        <w:trPr>
          <w:trHeight w:val="211"/>
        </w:trPr>
        <w:tc>
          <w:tcPr>
            <w:tcW w:w="296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Assets</w:t>
            </w:r>
          </w:p>
        </w:tc>
        <w:tc>
          <w:tcPr>
            <w:tcW w:w="2120" w:type="dxa"/>
            <w:vAlign w:val="bottom"/>
            <w:tcBorders>
              <w:top w:val="single" w:sz="8" w:color="auto"/>
            </w:tcBorders>
            <w:shd w:val="clear" w:color="auto" w:fill="F3F3F3"/>
          </w:tcPr>
          <w:p>
            <w:pPr>
              <w:spacing w:after="0"/>
              <w:rPr>
                <w:sz w:val="18"/>
                <w:szCs w:val="18"/>
                <w:color w:val="auto"/>
              </w:rPr>
            </w:pPr>
          </w:p>
        </w:tc>
        <w:tc>
          <w:tcPr>
            <w:tcW w:w="80" w:type="dxa"/>
            <w:vAlign w:val="bottom"/>
            <w:tcBorders>
              <w:top w:val="single" w:sz="8" w:color="F3F3F3"/>
            </w:tcBorders>
            <w:shd w:val="clear" w:color="auto" w:fill="F3F3F3"/>
          </w:tcPr>
          <w:p>
            <w:pPr>
              <w:spacing w:after="0"/>
              <w:rPr>
                <w:sz w:val="18"/>
                <w:szCs w:val="18"/>
                <w:color w:val="auto"/>
              </w:rPr>
            </w:pPr>
          </w:p>
        </w:tc>
        <w:tc>
          <w:tcPr>
            <w:tcW w:w="318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360" w:type="dxa"/>
            <w:vAlign w:val="bottom"/>
            <w:tcBorders>
              <w:top w:val="single" w:sz="8" w:color="auto"/>
            </w:tcBorders>
            <w:shd w:val="clear" w:color="auto" w:fill="F3F3F3"/>
          </w:tcPr>
          <w:p>
            <w:pPr>
              <w:spacing w:after="0"/>
              <w:rPr>
                <w:sz w:val="18"/>
                <w:szCs w:val="18"/>
                <w:color w:val="auto"/>
              </w:rPr>
            </w:pPr>
          </w:p>
        </w:tc>
        <w:tc>
          <w:tcPr>
            <w:tcW w:w="140" w:type="dxa"/>
            <w:vAlign w:val="bottom"/>
            <w:tcBorders>
              <w:top w:val="single" w:sz="8" w:color="auto"/>
            </w:tcBorders>
            <w:shd w:val="clear" w:color="auto" w:fill="F3F3F3"/>
          </w:tcPr>
          <w:p>
            <w:pPr>
              <w:spacing w:after="0"/>
              <w:rPr>
                <w:sz w:val="18"/>
                <w:szCs w:val="18"/>
                <w:color w:val="auto"/>
              </w:rPr>
            </w:pPr>
          </w:p>
        </w:tc>
        <w:tc>
          <w:tcPr>
            <w:tcW w:w="84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1360" w:type="dxa"/>
            <w:vAlign w:val="bottom"/>
            <w:tcBorders>
              <w:top w:val="single" w:sz="8" w:color="auto"/>
            </w:tcBorders>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2960" w:type="dxa"/>
            <w:vAlign w:val="bottom"/>
          </w:tcPr>
          <w:p>
            <w:pPr>
              <w:ind w:left="20"/>
              <w:spacing w:after="0" w:line="167" w:lineRule="exact"/>
              <w:rPr>
                <w:sz w:val="20"/>
                <w:szCs w:val="20"/>
                <w:color w:val="auto"/>
              </w:rPr>
            </w:pPr>
            <w:r>
              <w:rPr>
                <w:rFonts w:ascii="Arial" w:cs="Arial" w:eastAsia="Arial" w:hAnsi="Arial"/>
                <w:sz w:val="17"/>
                <w:szCs w:val="17"/>
                <w:color w:val="auto"/>
              </w:rPr>
              <w:t>Derivative contracts</w:t>
            </w:r>
          </w:p>
        </w:tc>
        <w:tc>
          <w:tcPr>
            <w:tcW w:w="220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Discounted cash flow</w:t>
            </w:r>
          </w:p>
        </w:tc>
        <w:tc>
          <w:tcPr>
            <w:tcW w:w="3280" w:type="dxa"/>
            <w:vAlign w:val="bottom"/>
            <w:gridSpan w:val="2"/>
          </w:tcPr>
          <w:p>
            <w:pPr>
              <w:ind w:left="20"/>
              <w:spacing w:after="0" w:line="167" w:lineRule="exact"/>
              <w:rPr>
                <w:sz w:val="20"/>
                <w:szCs w:val="20"/>
                <w:color w:val="auto"/>
              </w:rPr>
            </w:pPr>
            <w:r>
              <w:rPr>
                <w:rFonts w:ascii="Arial" w:cs="Arial" w:eastAsia="Arial" w:hAnsi="Arial"/>
                <w:sz w:val="17"/>
                <w:szCs w:val="17"/>
                <w:color w:val="auto"/>
              </w:rPr>
              <w:t>Premium over the MMD curve in basis</w:t>
            </w:r>
          </w:p>
        </w:tc>
        <w:tc>
          <w:tcPr>
            <w:tcW w:w="1440" w:type="dxa"/>
            <w:vAlign w:val="bottom"/>
            <w:gridSpan w:val="4"/>
            <w:vMerge w:val="restart"/>
          </w:tcPr>
          <w:p>
            <w:pPr>
              <w:jc w:val="center"/>
              <w:ind w:right="100"/>
              <w:spacing w:after="0"/>
              <w:rPr>
                <w:sz w:val="20"/>
                <w:szCs w:val="20"/>
                <w:color w:val="auto"/>
              </w:rPr>
            </w:pPr>
            <w:r>
              <w:rPr>
                <w:rFonts w:ascii="Arial" w:cs="Arial" w:eastAsia="Arial" w:hAnsi="Arial"/>
                <w:sz w:val="17"/>
                <w:szCs w:val="17"/>
                <w:color w:val="auto"/>
              </w:rPr>
              <w:t>0.1 - 44 bps</w:t>
            </w:r>
          </w:p>
        </w:tc>
        <w:tc>
          <w:tcPr>
            <w:tcW w:w="1360" w:type="dxa"/>
            <w:vAlign w:val="bottom"/>
            <w:vMerge w:val="restart"/>
          </w:tcPr>
          <w:p>
            <w:pPr>
              <w:jc w:val="center"/>
              <w:spacing w:after="0"/>
              <w:rPr>
                <w:sz w:val="20"/>
                <w:szCs w:val="20"/>
                <w:color w:val="auto"/>
              </w:rPr>
            </w:pPr>
            <w:r>
              <w:rPr>
                <w:rFonts w:ascii="Arial" w:cs="Arial" w:eastAsia="Arial" w:hAnsi="Arial"/>
                <w:sz w:val="17"/>
                <w:szCs w:val="17"/>
                <w:color w:val="auto"/>
                <w:w w:val="98"/>
              </w:rPr>
              <w:t>19.2 bps</w:t>
            </w:r>
          </w:p>
        </w:tc>
        <w:tc>
          <w:tcPr>
            <w:tcW w:w="0" w:type="dxa"/>
            <w:vAlign w:val="bottom"/>
          </w:tcPr>
          <w:p>
            <w:pPr>
              <w:spacing w:after="0"/>
              <w:rPr>
                <w:sz w:val="1"/>
                <w:szCs w:val="1"/>
                <w:color w:val="auto"/>
              </w:rPr>
            </w:pPr>
          </w:p>
        </w:tc>
      </w:tr>
      <w:tr>
        <w:trPr>
          <w:trHeight w:val="225"/>
        </w:trPr>
        <w:tc>
          <w:tcPr>
            <w:tcW w:w="29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gridSpan w:val="2"/>
          </w:tcPr>
          <w:p>
            <w:pPr>
              <w:ind w:left="100"/>
              <w:spacing w:after="0"/>
              <w:rPr>
                <w:sz w:val="20"/>
                <w:szCs w:val="20"/>
                <w:color w:val="auto"/>
              </w:rPr>
            </w:pPr>
            <w:r>
              <w:rPr>
                <w:rFonts w:ascii="Arial" w:cs="Arial" w:eastAsia="Arial" w:hAnsi="Arial"/>
                <w:sz w:val="17"/>
                <w:szCs w:val="17"/>
                <w:color w:val="auto"/>
              </w:rPr>
              <w:t>points ("bps") (3)</w:t>
            </w:r>
          </w:p>
        </w:tc>
        <w:tc>
          <w:tcPr>
            <w:tcW w:w="1440" w:type="dxa"/>
            <w:vAlign w:val="bottom"/>
            <w:gridSpan w:val="4"/>
            <w:vMerge w:val="continue"/>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F3F3F3"/>
          </w:tcPr>
          <w:p>
            <w:pPr>
              <w:ind w:left="20"/>
              <w:spacing w:after="0"/>
              <w:rPr>
                <w:sz w:val="20"/>
                <w:szCs w:val="20"/>
                <w:color w:val="auto"/>
              </w:rPr>
            </w:pPr>
            <w:r>
              <w:rPr>
                <w:rFonts w:ascii="Arial" w:cs="Arial" w:eastAsia="Arial" w:hAnsi="Arial"/>
                <w:sz w:val="17"/>
                <w:szCs w:val="17"/>
                <w:color w:val="auto"/>
              </w:rPr>
              <w:t>Investments at fair value (2)</w:t>
            </w:r>
          </w:p>
        </w:tc>
        <w:tc>
          <w:tcPr>
            <w:tcW w:w="2200" w:type="dxa"/>
            <w:vAlign w:val="bottom"/>
            <w:gridSpan w:val="2"/>
            <w:shd w:val="clear" w:color="auto" w:fill="F3F3F3"/>
          </w:tcPr>
          <w:p>
            <w:pPr>
              <w:ind w:left="20"/>
              <w:spacing w:after="0"/>
              <w:rPr>
                <w:sz w:val="20"/>
                <w:szCs w:val="20"/>
                <w:color w:val="auto"/>
              </w:rPr>
            </w:pPr>
            <w:r>
              <w:rPr>
                <w:rFonts w:ascii="Arial" w:cs="Arial" w:eastAsia="Arial" w:hAnsi="Arial"/>
                <w:sz w:val="17"/>
                <w:szCs w:val="17"/>
                <w:color w:val="auto"/>
              </w:rPr>
              <w:t>Market approach</w:t>
            </w:r>
          </w:p>
        </w:tc>
        <w:tc>
          <w:tcPr>
            <w:tcW w:w="3280" w:type="dxa"/>
            <w:vAlign w:val="bottom"/>
            <w:gridSpan w:val="2"/>
            <w:shd w:val="clear" w:color="auto" w:fill="F3F3F3"/>
          </w:tcPr>
          <w:p>
            <w:pPr>
              <w:ind w:left="20"/>
              <w:spacing w:after="0"/>
              <w:rPr>
                <w:sz w:val="20"/>
                <w:szCs w:val="20"/>
                <w:color w:val="auto"/>
              </w:rPr>
            </w:pPr>
            <w:r>
              <w:rPr>
                <w:rFonts w:ascii="Arial" w:cs="Arial" w:eastAsia="Arial" w:hAnsi="Arial"/>
                <w:sz w:val="17"/>
                <w:szCs w:val="17"/>
                <w:color w:val="auto"/>
              </w:rPr>
              <w:t>Revenue multiple (3)</w:t>
            </w:r>
          </w:p>
        </w:tc>
        <w:tc>
          <w:tcPr>
            <w:tcW w:w="3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w:t>
            </w:r>
          </w:p>
        </w:tc>
        <w:tc>
          <w:tcPr>
            <w:tcW w:w="1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F3F3F3"/>
          </w:tcPr>
          <w:p>
            <w:pPr>
              <w:ind w:left="20"/>
              <w:spacing w:after="0"/>
              <w:rPr>
                <w:sz w:val="20"/>
                <w:szCs w:val="20"/>
                <w:color w:val="auto"/>
              </w:rPr>
            </w:pPr>
            <w:r>
              <w:rPr>
                <w:rFonts w:ascii="Arial" w:cs="Arial" w:eastAsia="Arial" w:hAnsi="Arial"/>
                <w:sz w:val="17"/>
                <w:szCs w:val="17"/>
                <w:color w:val="auto"/>
              </w:rPr>
              <w:t>9 times</w:t>
            </w:r>
          </w:p>
        </w:tc>
        <w:tc>
          <w:tcPr>
            <w:tcW w:w="1360" w:type="dxa"/>
            <w:vAlign w:val="bottom"/>
            <w:shd w:val="clear" w:color="auto" w:fill="F3F3F3"/>
          </w:tcPr>
          <w:p>
            <w:pPr>
              <w:jc w:val="center"/>
              <w:spacing w:after="0"/>
              <w:rPr>
                <w:sz w:val="20"/>
                <w:szCs w:val="20"/>
                <w:color w:val="auto"/>
              </w:rPr>
            </w:pPr>
            <w:r>
              <w:rPr>
                <w:rFonts w:ascii="Arial" w:cs="Arial" w:eastAsia="Arial" w:hAnsi="Arial"/>
                <w:sz w:val="17"/>
                <w:szCs w:val="17"/>
                <w:color w:val="auto"/>
                <w:w w:val="98"/>
              </w:rPr>
              <w:t>6.2 times</w:t>
            </w:r>
          </w:p>
        </w:tc>
        <w:tc>
          <w:tcPr>
            <w:tcW w:w="0" w:type="dxa"/>
            <w:vAlign w:val="bottom"/>
          </w:tcPr>
          <w:p>
            <w:pPr>
              <w:spacing w:after="0"/>
              <w:rPr>
                <w:sz w:val="1"/>
                <w:szCs w:val="1"/>
                <w:color w:val="auto"/>
              </w:rPr>
            </w:pPr>
          </w:p>
        </w:tc>
      </w:tr>
      <w:tr>
        <w:trPr>
          <w:trHeight w:val="227"/>
        </w:trPr>
        <w:tc>
          <w:tcPr>
            <w:tcW w:w="29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EBITDA multiple (3)</w:t>
            </w:r>
          </w:p>
        </w:tc>
        <w:tc>
          <w:tcPr>
            <w:tcW w:w="360" w:type="dxa"/>
            <w:vAlign w:val="bottom"/>
          </w:tcPr>
          <w:p>
            <w:pPr>
              <w:jc w:val="right"/>
              <w:spacing w:after="0"/>
              <w:rPr>
                <w:sz w:val="20"/>
                <w:szCs w:val="20"/>
                <w:color w:val="auto"/>
              </w:rPr>
            </w:pPr>
            <w:r>
              <w:rPr>
                <w:rFonts w:ascii="Arial" w:cs="Arial" w:eastAsia="Arial" w:hAnsi="Arial"/>
                <w:sz w:val="17"/>
                <w:szCs w:val="17"/>
                <w:color w:val="auto"/>
              </w:rPr>
              <w:t>10</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tcPr>
          <w:p>
            <w:pPr>
              <w:ind w:left="20"/>
              <w:spacing w:after="0"/>
              <w:rPr>
                <w:sz w:val="20"/>
                <w:szCs w:val="20"/>
                <w:color w:val="auto"/>
              </w:rPr>
            </w:pPr>
            <w:r>
              <w:rPr>
                <w:rFonts w:ascii="Arial" w:cs="Arial" w:eastAsia="Arial" w:hAnsi="Arial"/>
                <w:sz w:val="17"/>
                <w:szCs w:val="17"/>
                <w:color w:val="auto"/>
              </w:rPr>
              <w:t>19 times</w:t>
            </w:r>
          </w:p>
        </w:tc>
        <w:tc>
          <w:tcPr>
            <w:tcW w:w="1360" w:type="dxa"/>
            <w:vAlign w:val="bottom"/>
          </w:tcPr>
          <w:p>
            <w:pPr>
              <w:jc w:val="center"/>
              <w:spacing w:after="0"/>
              <w:rPr>
                <w:sz w:val="20"/>
                <w:szCs w:val="20"/>
                <w:color w:val="auto"/>
              </w:rPr>
            </w:pPr>
            <w:r>
              <w:rPr>
                <w:rFonts w:ascii="Arial" w:cs="Arial" w:eastAsia="Arial" w:hAnsi="Arial"/>
                <w:sz w:val="17"/>
                <w:szCs w:val="17"/>
                <w:color w:val="auto"/>
              </w:rPr>
              <w:t>15.3 times</w:t>
            </w:r>
          </w:p>
        </w:tc>
        <w:tc>
          <w:tcPr>
            <w:tcW w:w="0" w:type="dxa"/>
            <w:vAlign w:val="bottom"/>
          </w:tcPr>
          <w:p>
            <w:pPr>
              <w:spacing w:after="0"/>
              <w:rPr>
                <w:sz w:val="1"/>
                <w:szCs w:val="1"/>
                <w:color w:val="auto"/>
              </w:rPr>
            </w:pPr>
          </w:p>
        </w:tc>
      </w:tr>
      <w:tr>
        <w:trPr>
          <w:trHeight w:val="169"/>
        </w:trPr>
        <w:tc>
          <w:tcPr>
            <w:tcW w:w="2960" w:type="dxa"/>
            <w:vAlign w:val="bottom"/>
            <w:shd w:val="clear" w:color="auto" w:fill="F3F3F3"/>
          </w:tcPr>
          <w:p>
            <w:pPr>
              <w:spacing w:after="0"/>
              <w:rPr>
                <w:sz w:val="14"/>
                <w:szCs w:val="14"/>
                <w:color w:val="auto"/>
              </w:rPr>
            </w:pPr>
          </w:p>
        </w:tc>
        <w:tc>
          <w:tcPr>
            <w:tcW w:w="2120" w:type="dxa"/>
            <w:vAlign w:val="bottom"/>
            <w:shd w:val="clear" w:color="auto" w:fill="F3F3F3"/>
          </w:tcPr>
          <w:p>
            <w:pPr>
              <w:spacing w:after="0"/>
              <w:rPr>
                <w:sz w:val="14"/>
                <w:szCs w:val="14"/>
                <w:color w:val="auto"/>
              </w:rPr>
            </w:pPr>
          </w:p>
        </w:tc>
        <w:tc>
          <w:tcPr>
            <w:tcW w:w="80" w:type="dxa"/>
            <w:vAlign w:val="bottom"/>
            <w:shd w:val="clear" w:color="auto" w:fill="F3F3F3"/>
          </w:tcPr>
          <w:p>
            <w:pPr>
              <w:spacing w:after="0"/>
              <w:rPr>
                <w:sz w:val="14"/>
                <w:szCs w:val="14"/>
                <w:color w:val="auto"/>
              </w:rPr>
            </w:pPr>
          </w:p>
        </w:tc>
        <w:tc>
          <w:tcPr>
            <w:tcW w:w="3280" w:type="dxa"/>
            <w:vAlign w:val="bottom"/>
            <w:gridSpan w:val="2"/>
            <w:shd w:val="clear" w:color="auto" w:fill="F3F3F3"/>
          </w:tcPr>
          <w:p>
            <w:pPr>
              <w:ind w:left="20"/>
              <w:spacing w:after="0" w:line="169" w:lineRule="exact"/>
              <w:rPr>
                <w:sz w:val="20"/>
                <w:szCs w:val="20"/>
                <w:color w:val="auto"/>
              </w:rPr>
            </w:pPr>
            <w:r>
              <w:rPr>
                <w:rFonts w:ascii="Arial" w:cs="Arial" w:eastAsia="Arial" w:hAnsi="Arial"/>
                <w:sz w:val="17"/>
                <w:szCs w:val="17"/>
                <w:color w:val="auto"/>
              </w:rPr>
              <w:t>Equity value as multiple of independent</w:t>
            </w:r>
          </w:p>
        </w:tc>
        <w:tc>
          <w:tcPr>
            <w:tcW w:w="360" w:type="dxa"/>
            <w:vAlign w:val="bottom"/>
            <w:vMerge w:val="restart"/>
            <w:shd w:val="clear" w:color="auto" w:fill="F3F3F3"/>
          </w:tcPr>
          <w:p>
            <w:pPr>
              <w:jc w:val="right"/>
              <w:spacing w:after="0"/>
              <w:rPr>
                <w:sz w:val="20"/>
                <w:szCs w:val="20"/>
                <w:color w:val="auto"/>
              </w:rPr>
            </w:pPr>
            <w:r>
              <w:rPr>
                <w:rFonts w:ascii="Arial" w:cs="Arial" w:eastAsia="Arial" w:hAnsi="Arial"/>
                <w:sz w:val="17"/>
                <w:szCs w:val="17"/>
                <w:color w:val="auto"/>
              </w:rPr>
              <w:t>1</w:t>
            </w:r>
          </w:p>
        </w:tc>
        <w:tc>
          <w:tcPr>
            <w:tcW w:w="140" w:type="dxa"/>
            <w:vAlign w:val="bottom"/>
            <w:vMerge w:val="restart"/>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2"/>
            <w:vMerge w:val="restart"/>
            <w:shd w:val="clear" w:color="auto" w:fill="F3F3F3"/>
          </w:tcPr>
          <w:p>
            <w:pPr>
              <w:ind w:left="20"/>
              <w:spacing w:after="0"/>
              <w:rPr>
                <w:sz w:val="20"/>
                <w:szCs w:val="20"/>
                <w:color w:val="auto"/>
              </w:rPr>
            </w:pPr>
            <w:r>
              <w:rPr>
                <w:rFonts w:ascii="Arial" w:cs="Arial" w:eastAsia="Arial" w:hAnsi="Arial"/>
                <w:sz w:val="17"/>
                <w:szCs w:val="17"/>
                <w:color w:val="auto"/>
              </w:rPr>
              <w:t>3 times</w:t>
            </w:r>
          </w:p>
        </w:tc>
        <w:tc>
          <w:tcPr>
            <w:tcW w:w="1360" w:type="dxa"/>
            <w:vAlign w:val="bottom"/>
            <w:vMerge w:val="restart"/>
            <w:shd w:val="clear" w:color="auto" w:fill="F3F3F3"/>
          </w:tcPr>
          <w:p>
            <w:pPr>
              <w:jc w:val="center"/>
              <w:spacing w:after="0"/>
              <w:rPr>
                <w:sz w:val="20"/>
                <w:szCs w:val="20"/>
                <w:color w:val="auto"/>
              </w:rPr>
            </w:pPr>
            <w:r>
              <w:rPr>
                <w:rFonts w:ascii="Arial" w:cs="Arial" w:eastAsia="Arial" w:hAnsi="Arial"/>
                <w:sz w:val="17"/>
                <w:szCs w:val="17"/>
                <w:color w:val="auto"/>
                <w:w w:val="98"/>
              </w:rPr>
              <w:t>1.9 times</w:t>
            </w:r>
          </w:p>
        </w:tc>
        <w:tc>
          <w:tcPr>
            <w:tcW w:w="0" w:type="dxa"/>
            <w:vAlign w:val="bottom"/>
          </w:tcPr>
          <w:p>
            <w:pPr>
              <w:spacing w:after="0"/>
              <w:rPr>
                <w:sz w:val="1"/>
                <w:szCs w:val="1"/>
                <w:color w:val="auto"/>
              </w:rPr>
            </w:pPr>
          </w:p>
        </w:tc>
      </w:tr>
      <w:tr>
        <w:trPr>
          <w:trHeight w:val="225"/>
        </w:trPr>
        <w:tc>
          <w:tcPr>
            <w:tcW w:w="2960" w:type="dxa"/>
            <w:vAlign w:val="bottom"/>
            <w:shd w:val="clear" w:color="auto" w:fill="F3F3F3"/>
          </w:tcPr>
          <w:p>
            <w:pPr>
              <w:spacing w:after="0"/>
              <w:rPr>
                <w:sz w:val="19"/>
                <w:szCs w:val="19"/>
                <w:color w:val="auto"/>
              </w:rPr>
            </w:pPr>
          </w:p>
        </w:tc>
        <w:tc>
          <w:tcPr>
            <w:tcW w:w="2120" w:type="dxa"/>
            <w:vAlign w:val="bottom"/>
            <w:shd w:val="clear" w:color="auto" w:fill="F3F3F3"/>
          </w:tcPr>
          <w:p>
            <w:pPr>
              <w:spacing w:after="0"/>
              <w:rPr>
                <w:sz w:val="19"/>
                <w:szCs w:val="19"/>
                <w:color w:val="auto"/>
              </w:rPr>
            </w:pPr>
          </w:p>
        </w:tc>
        <w:tc>
          <w:tcPr>
            <w:tcW w:w="80" w:type="dxa"/>
            <w:vAlign w:val="bottom"/>
            <w:shd w:val="clear" w:color="auto" w:fill="F3F3F3"/>
          </w:tcPr>
          <w:p>
            <w:pPr>
              <w:spacing w:after="0"/>
              <w:rPr>
                <w:sz w:val="19"/>
                <w:szCs w:val="19"/>
                <w:color w:val="auto"/>
              </w:rPr>
            </w:pPr>
          </w:p>
        </w:tc>
        <w:tc>
          <w:tcPr>
            <w:tcW w:w="3280" w:type="dxa"/>
            <w:vAlign w:val="bottom"/>
            <w:gridSpan w:val="2"/>
            <w:shd w:val="clear" w:color="auto" w:fill="F3F3F3"/>
          </w:tcPr>
          <w:p>
            <w:pPr>
              <w:ind w:left="100"/>
              <w:spacing w:after="0"/>
              <w:rPr>
                <w:sz w:val="20"/>
                <w:szCs w:val="20"/>
                <w:color w:val="auto"/>
              </w:rPr>
            </w:pPr>
            <w:r>
              <w:rPr>
                <w:rFonts w:ascii="Arial" w:cs="Arial" w:eastAsia="Arial" w:hAnsi="Arial"/>
                <w:sz w:val="17"/>
                <w:szCs w:val="17"/>
                <w:color w:val="auto"/>
              </w:rPr>
              <w:t>financing value (3)</w:t>
            </w:r>
          </w:p>
        </w:tc>
        <w:tc>
          <w:tcPr>
            <w:tcW w:w="360" w:type="dxa"/>
            <w:vAlign w:val="bottom"/>
            <w:vMerge w:val="continue"/>
            <w:shd w:val="clear" w:color="auto" w:fill="F3F3F3"/>
          </w:tcPr>
          <w:p>
            <w:pPr>
              <w:spacing w:after="0"/>
              <w:rPr>
                <w:sz w:val="19"/>
                <w:szCs w:val="19"/>
                <w:color w:val="auto"/>
              </w:rPr>
            </w:pPr>
          </w:p>
        </w:tc>
        <w:tc>
          <w:tcPr>
            <w:tcW w:w="140" w:type="dxa"/>
            <w:vAlign w:val="bottom"/>
            <w:vMerge w:val="continue"/>
            <w:shd w:val="clear" w:color="auto" w:fill="F3F3F3"/>
          </w:tcPr>
          <w:p>
            <w:pPr>
              <w:spacing w:after="0"/>
              <w:rPr>
                <w:sz w:val="19"/>
                <w:szCs w:val="19"/>
                <w:color w:val="auto"/>
              </w:rPr>
            </w:pPr>
          </w:p>
        </w:tc>
        <w:tc>
          <w:tcPr>
            <w:tcW w:w="940" w:type="dxa"/>
            <w:vAlign w:val="bottom"/>
            <w:gridSpan w:val="2"/>
            <w:vMerge w:val="continue"/>
            <w:shd w:val="clear" w:color="auto" w:fill="F3F3F3"/>
          </w:tcPr>
          <w:p>
            <w:pPr>
              <w:spacing w:after="0"/>
              <w:rPr>
                <w:sz w:val="19"/>
                <w:szCs w:val="19"/>
                <w:color w:val="auto"/>
              </w:rPr>
            </w:pPr>
          </w:p>
        </w:tc>
        <w:tc>
          <w:tcPr>
            <w:tcW w:w="1360" w:type="dxa"/>
            <w:vAlign w:val="bottom"/>
            <w:vMerge w:val="continue"/>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960" w:type="dxa"/>
            <w:vAlign w:val="bottom"/>
          </w:tcPr>
          <w:p>
            <w:pPr>
              <w:spacing w:after="0"/>
              <w:rPr>
                <w:sz w:val="19"/>
                <w:szCs w:val="19"/>
                <w:color w:val="auto"/>
              </w:rPr>
            </w:pPr>
          </w:p>
        </w:tc>
        <w:tc>
          <w:tcPr>
            <w:tcW w:w="2200" w:type="dxa"/>
            <w:vAlign w:val="bottom"/>
            <w:gridSpan w:val="2"/>
          </w:tcPr>
          <w:p>
            <w:pPr>
              <w:ind w:left="20"/>
              <w:spacing w:after="0"/>
              <w:rPr>
                <w:sz w:val="20"/>
                <w:szCs w:val="20"/>
                <w:color w:val="auto"/>
              </w:rPr>
            </w:pPr>
            <w:r>
              <w:rPr>
                <w:rFonts w:ascii="Arial" w:cs="Arial" w:eastAsia="Arial" w:hAnsi="Arial"/>
                <w:sz w:val="17"/>
                <w:szCs w:val="17"/>
                <w:color w:val="auto"/>
              </w:rPr>
              <w:t>Discounted cash flow</w:t>
            </w:r>
          </w:p>
        </w:tc>
        <w:tc>
          <w:tcPr>
            <w:tcW w:w="3280" w:type="dxa"/>
            <w:vAlign w:val="bottom"/>
            <w:gridSpan w:val="2"/>
          </w:tcPr>
          <w:p>
            <w:pPr>
              <w:ind w:left="20"/>
              <w:spacing w:after="0"/>
              <w:rPr>
                <w:sz w:val="20"/>
                <w:szCs w:val="20"/>
                <w:color w:val="auto"/>
              </w:rPr>
            </w:pPr>
            <w:r>
              <w:rPr>
                <w:rFonts w:ascii="Arial" w:cs="Arial" w:eastAsia="Arial" w:hAnsi="Arial"/>
                <w:sz w:val="17"/>
                <w:szCs w:val="17"/>
                <w:color w:val="auto"/>
              </w:rPr>
              <w:t>Discount rate (4)</w:t>
            </w:r>
          </w:p>
        </w:tc>
        <w:tc>
          <w:tcPr>
            <w:tcW w:w="3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5</w:t>
            </w:r>
          </w:p>
        </w:tc>
        <w:tc>
          <w:tcPr>
            <w:tcW w:w="840" w:type="dxa"/>
            <w:vAlign w:val="bottom"/>
          </w:tcPr>
          <w:p>
            <w:pPr>
              <w:ind w:left="20"/>
              <w:spacing w:after="0"/>
              <w:rPr>
                <w:sz w:val="20"/>
                <w:szCs w:val="20"/>
                <w:color w:val="auto"/>
              </w:rPr>
            </w:pPr>
            <w:r>
              <w:rPr>
                <w:rFonts w:ascii="Arial" w:cs="Arial" w:eastAsia="Arial" w:hAnsi="Arial"/>
                <w:sz w:val="17"/>
                <w:szCs w:val="17"/>
                <w:color w:val="auto"/>
              </w:rPr>
              <w:t>- 25%</w:t>
            </w:r>
          </w:p>
        </w:tc>
        <w:tc>
          <w:tcPr>
            <w:tcW w:w="1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7"/>
                <w:szCs w:val="17"/>
                <w:color w:val="auto"/>
                <w:w w:val="99"/>
              </w:rPr>
              <w:t>20.5%</w:t>
            </w:r>
          </w:p>
        </w:tc>
        <w:tc>
          <w:tcPr>
            <w:tcW w:w="0" w:type="dxa"/>
            <w:vAlign w:val="bottom"/>
          </w:tcPr>
          <w:p>
            <w:pPr>
              <w:spacing w:after="0"/>
              <w:rPr>
                <w:sz w:val="1"/>
                <w:szCs w:val="1"/>
                <w:color w:val="auto"/>
              </w:rPr>
            </w:pPr>
          </w:p>
        </w:tc>
      </w:tr>
      <w:tr>
        <w:trPr>
          <w:trHeight w:val="259"/>
        </w:trPr>
        <w:tc>
          <w:tcPr>
            <w:tcW w:w="2960" w:type="dxa"/>
            <w:vAlign w:val="bottom"/>
            <w:shd w:val="clear" w:color="auto" w:fill="F3F3F3"/>
          </w:tcPr>
          <w:p>
            <w:pPr>
              <w:spacing w:after="0"/>
              <w:rPr>
                <w:sz w:val="22"/>
                <w:szCs w:val="22"/>
                <w:color w:val="auto"/>
              </w:rPr>
            </w:pPr>
          </w:p>
        </w:tc>
        <w:tc>
          <w:tcPr>
            <w:tcW w:w="2120" w:type="dxa"/>
            <w:vAlign w:val="bottom"/>
            <w:shd w:val="clear" w:color="auto" w:fill="F3F3F3"/>
          </w:tcPr>
          <w:p>
            <w:pPr>
              <w:spacing w:after="0"/>
              <w:rPr>
                <w:sz w:val="22"/>
                <w:szCs w:val="22"/>
                <w:color w:val="auto"/>
              </w:rPr>
            </w:pPr>
          </w:p>
        </w:tc>
        <w:tc>
          <w:tcPr>
            <w:tcW w:w="80" w:type="dxa"/>
            <w:vAlign w:val="bottom"/>
            <w:shd w:val="clear" w:color="auto" w:fill="F3F3F3"/>
          </w:tcPr>
          <w:p>
            <w:pPr>
              <w:spacing w:after="0"/>
              <w:rPr>
                <w:sz w:val="22"/>
                <w:szCs w:val="22"/>
                <w:color w:val="auto"/>
              </w:rPr>
            </w:pPr>
          </w:p>
        </w:tc>
        <w:tc>
          <w:tcPr>
            <w:tcW w:w="3180" w:type="dxa"/>
            <w:vAlign w:val="bottom"/>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360" w:type="dxa"/>
            <w:vAlign w:val="bottom"/>
            <w:shd w:val="clear" w:color="auto" w:fill="F3F3F3"/>
          </w:tcPr>
          <w:p>
            <w:pPr>
              <w:spacing w:after="0"/>
              <w:rPr>
                <w:sz w:val="22"/>
                <w:szCs w:val="22"/>
                <w:color w:val="auto"/>
              </w:rPr>
            </w:pPr>
          </w:p>
        </w:tc>
        <w:tc>
          <w:tcPr>
            <w:tcW w:w="140" w:type="dxa"/>
            <w:vAlign w:val="bottom"/>
            <w:shd w:val="clear" w:color="auto" w:fill="F3F3F3"/>
          </w:tcPr>
          <w:p>
            <w:pPr>
              <w:spacing w:after="0"/>
              <w:rPr>
                <w:sz w:val="22"/>
                <w:szCs w:val="22"/>
                <w:color w:val="auto"/>
              </w:rPr>
            </w:pPr>
          </w:p>
        </w:tc>
        <w:tc>
          <w:tcPr>
            <w:tcW w:w="840" w:type="dxa"/>
            <w:vAlign w:val="bottom"/>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1360" w:type="dxa"/>
            <w:vAlign w:val="bottom"/>
            <w:shd w:val="clear" w:color="auto" w:fill="F3F3F3"/>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Liabilities</w:t>
            </w:r>
          </w:p>
        </w:tc>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F3F3F3"/>
          </w:tcPr>
          <w:p>
            <w:pPr>
              <w:ind w:left="20"/>
              <w:spacing w:after="0"/>
              <w:rPr>
                <w:sz w:val="20"/>
                <w:szCs w:val="20"/>
                <w:color w:val="auto"/>
              </w:rPr>
            </w:pPr>
            <w:r>
              <w:rPr>
                <w:rFonts w:ascii="Arial" w:cs="Arial" w:eastAsia="Arial" w:hAnsi="Arial"/>
                <w:sz w:val="17"/>
                <w:szCs w:val="17"/>
                <w:color w:val="auto"/>
              </w:rPr>
              <w:t>Derivative contracts</w:t>
            </w:r>
          </w:p>
        </w:tc>
        <w:tc>
          <w:tcPr>
            <w:tcW w:w="2200" w:type="dxa"/>
            <w:vAlign w:val="bottom"/>
            <w:gridSpan w:val="2"/>
            <w:shd w:val="clear" w:color="auto" w:fill="F3F3F3"/>
          </w:tcPr>
          <w:p>
            <w:pPr>
              <w:ind w:left="20"/>
              <w:spacing w:after="0"/>
              <w:rPr>
                <w:sz w:val="20"/>
                <w:szCs w:val="20"/>
                <w:color w:val="auto"/>
              </w:rPr>
            </w:pPr>
            <w:r>
              <w:rPr>
                <w:rFonts w:ascii="Arial" w:cs="Arial" w:eastAsia="Arial" w:hAnsi="Arial"/>
                <w:sz w:val="17"/>
                <w:szCs w:val="17"/>
                <w:color w:val="auto"/>
              </w:rPr>
              <w:t>Discounted cash flow</w:t>
            </w:r>
          </w:p>
        </w:tc>
        <w:tc>
          <w:tcPr>
            <w:tcW w:w="3280" w:type="dxa"/>
            <w:vAlign w:val="bottom"/>
            <w:gridSpan w:val="2"/>
            <w:shd w:val="clear" w:color="auto" w:fill="F3F3F3"/>
          </w:tcPr>
          <w:p>
            <w:pPr>
              <w:ind w:left="20"/>
              <w:spacing w:after="0"/>
              <w:rPr>
                <w:sz w:val="20"/>
                <w:szCs w:val="20"/>
                <w:color w:val="auto"/>
              </w:rPr>
            </w:pPr>
            <w:r>
              <w:rPr>
                <w:rFonts w:ascii="Arial" w:cs="Arial" w:eastAsia="Arial" w:hAnsi="Arial"/>
                <w:sz w:val="17"/>
                <w:szCs w:val="17"/>
                <w:color w:val="auto"/>
              </w:rPr>
              <w:t>Premium over the MMD curve in bps (4)</w:t>
            </w:r>
          </w:p>
        </w:tc>
        <w:tc>
          <w:tcPr>
            <w:tcW w:w="1440" w:type="dxa"/>
            <w:vAlign w:val="bottom"/>
            <w:gridSpan w:val="4"/>
            <w:shd w:val="clear" w:color="auto" w:fill="F3F3F3"/>
          </w:tcPr>
          <w:p>
            <w:pPr>
              <w:jc w:val="center"/>
              <w:ind w:right="120"/>
              <w:spacing w:after="0"/>
              <w:rPr>
                <w:sz w:val="20"/>
                <w:szCs w:val="20"/>
                <w:color w:val="auto"/>
              </w:rPr>
            </w:pPr>
            <w:r>
              <w:rPr>
                <w:rFonts w:ascii="Arial" w:cs="Arial" w:eastAsia="Arial" w:hAnsi="Arial"/>
                <w:sz w:val="17"/>
                <w:szCs w:val="17"/>
                <w:color w:val="auto"/>
              </w:rPr>
              <w:t>0 - 37 bps</w:t>
            </w:r>
          </w:p>
        </w:tc>
        <w:tc>
          <w:tcPr>
            <w:tcW w:w="136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7.4 bps</w:t>
            </w: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Unobservable inputs were weighted by the relative fair value of the financial instruments.</w:t>
      </w:r>
    </w:p>
    <w:p>
      <w:pPr>
        <w:spacing w:after="0" w:line="57" w:lineRule="exact"/>
        <w:rPr>
          <w:rFonts w:ascii="Arial" w:cs="Arial" w:eastAsia="Arial" w:hAnsi="Arial"/>
          <w:sz w:val="15"/>
          <w:szCs w:val="15"/>
          <w:i w:val="1"/>
          <w:iCs w:val="1"/>
          <w:color w:val="auto"/>
        </w:rPr>
      </w:pPr>
    </w:p>
    <w:p>
      <w:pPr>
        <w:ind w:left="340" w:hanging="332"/>
        <w:spacing w:after="0" w:line="291" w:lineRule="auto"/>
        <w:tabs>
          <w:tab w:leader="none" w:pos="338"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As of March 31, 2026, the Company had $212.4 million of Level III investments at fair value, of which $58.5 million was valued based on a recent round of independent financing.</w:t>
      </w:r>
    </w:p>
    <w:p>
      <w:pPr>
        <w:ind w:left="340" w:hanging="332"/>
        <w:spacing w:after="0" w:line="300" w:lineRule="auto"/>
        <w:tabs>
          <w:tab w:leader="none" w:pos="338"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There is uncertainty in the determination of fair value. Significant increase/(decrease) in the unobservable input in isolation would have resulted in a significantly higher/(lower) fair value measurement.</w:t>
      </w:r>
    </w:p>
    <w:p>
      <w:pPr>
        <w:ind w:left="340" w:hanging="332"/>
        <w:spacing w:after="0" w:line="283" w:lineRule="auto"/>
        <w:tabs>
          <w:tab w:leader="none" w:pos="338" w:val="left"/>
        </w:tabs>
        <w:numPr>
          <w:ilvl w:val="0"/>
          <w:numId w:val="9"/>
        </w:numPr>
        <w:rPr>
          <w:rFonts w:ascii="Arial" w:cs="Arial" w:eastAsia="Arial" w:hAnsi="Arial"/>
          <w:sz w:val="15"/>
          <w:szCs w:val="15"/>
          <w:i w:val="1"/>
          <w:iCs w:val="1"/>
          <w:color w:val="auto"/>
        </w:rPr>
      </w:pPr>
      <w:r>
        <w:rPr>
          <w:rFonts w:ascii="Arial" w:cs="Arial" w:eastAsia="Arial" w:hAnsi="Arial"/>
          <w:sz w:val="15"/>
          <w:szCs w:val="15"/>
          <w:i w:val="1"/>
          <w:iCs w:val="1"/>
          <w:color w:val="auto"/>
        </w:rPr>
        <w:t>There is uncertainty in the determination of fair value. Significant increase/(decrease) in the unobservable input in isolation would have resulted in a significantly lower/(higher)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FINANCIAL INSTRUMENTS AND OTHER INVENTORY POSITIONS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Arial" w:cs="Arial" w:eastAsia="Arial" w:hAnsi="Arial"/>
                <w:sz w:val="17"/>
                <w:szCs w:val="17"/>
                <w:b w:val="1"/>
                <w:bCs w:val="1"/>
                <w:color w:val="auto"/>
              </w:rPr>
              <w:t>December 31,</w:t>
            </w:r>
          </w:p>
        </w:tc>
      </w:tr>
      <w:tr>
        <w:trPr>
          <w:trHeight w:val="236"/>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r>
      <w:tr>
        <w:trPr>
          <w:trHeight w:val="211"/>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Financial instruments and other inventory positions owned</w:t>
            </w:r>
          </w:p>
        </w:tc>
        <w:tc>
          <w:tcPr>
            <w:tcW w:w="260" w:type="dxa"/>
            <w:vAlign w:val="bottom"/>
            <w:shd w:val="clear" w:color="auto" w:fill="F3F3F3"/>
          </w:tcPr>
          <w:p>
            <w:pPr>
              <w:spacing w:after="0"/>
              <w:rPr>
                <w:sz w:val="18"/>
                <w:szCs w:val="18"/>
                <w:color w:val="auto"/>
              </w:rPr>
            </w:pPr>
          </w:p>
        </w:tc>
        <w:tc>
          <w:tcPr>
            <w:tcW w:w="13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180" w:type="dxa"/>
            <w:vAlign w:val="bottom"/>
            <w:shd w:val="clear" w:color="auto" w:fill="F3F3F3"/>
          </w:tcPr>
          <w:p>
            <w:pPr>
              <w:spacing w:after="0"/>
              <w:rPr>
                <w:sz w:val="18"/>
                <w:szCs w:val="18"/>
                <w:color w:val="auto"/>
              </w:rPr>
            </w:pPr>
          </w:p>
        </w:tc>
        <w:tc>
          <w:tcPr>
            <w:tcW w:w="1420" w:type="dxa"/>
            <w:vAlign w:val="bottom"/>
            <w:shd w:val="clear" w:color="auto" w:fill="F3F3F3"/>
          </w:tcPr>
          <w:p>
            <w:pPr>
              <w:spacing w:after="0"/>
              <w:rPr>
                <w:sz w:val="18"/>
                <w:szCs w:val="18"/>
                <w:color w:val="auto"/>
              </w:rPr>
            </w:pPr>
          </w:p>
        </w:tc>
      </w:tr>
      <w:tr>
        <w:trPr>
          <w:trHeight w:val="227"/>
        </w:trPr>
        <w:tc>
          <w:tcPr>
            <w:tcW w:w="7940" w:type="dxa"/>
            <w:vAlign w:val="bottom"/>
          </w:tcPr>
          <w:p>
            <w:pPr>
              <w:ind w:left="140"/>
              <w:spacing w:after="0"/>
              <w:rPr>
                <w:sz w:val="20"/>
                <w:szCs w:val="20"/>
                <w:color w:val="auto"/>
              </w:rPr>
            </w:pPr>
            <w:r>
              <w:rPr>
                <w:rFonts w:ascii="Arial" w:cs="Arial" w:eastAsia="Arial" w:hAnsi="Arial"/>
                <w:sz w:val="17"/>
                <w:szCs w:val="17"/>
                <w:color w:val="auto"/>
              </w:rPr>
              <w:t>Corporate securities: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2"/>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Convertible securities</w:t>
            </w:r>
          </w:p>
        </w:tc>
        <w:tc>
          <w:tcPr>
            <w:tcW w:w="260" w:type="dxa"/>
            <w:vAlign w:val="bottom"/>
            <w:shd w:val="clear" w:color="auto" w:fill="F3F3F3"/>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133,979</w:t>
            </w:r>
          </w:p>
        </w:tc>
        <w:tc>
          <w:tcPr>
            <w:tcW w:w="100" w:type="dxa"/>
            <w:vAlign w:val="bottom"/>
            <w:shd w:val="clear" w:color="auto" w:fill="F3F3F3"/>
          </w:tcPr>
          <w:p>
            <w:pPr>
              <w:spacing w:after="0"/>
              <w:rPr>
                <w:sz w:val="20"/>
                <w:szCs w:val="20"/>
                <w:color w:val="auto"/>
              </w:rPr>
            </w:pPr>
          </w:p>
        </w:tc>
        <w:tc>
          <w:tcPr>
            <w:tcW w:w="180" w:type="dxa"/>
            <w:vAlign w:val="bottom"/>
            <w:shd w:val="clear" w:color="auto" w:fill="F3F3F3"/>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140,306</w:t>
            </w:r>
          </w:p>
        </w:tc>
      </w:tr>
      <w:tr>
        <w:trPr>
          <w:trHeight w:val="229"/>
        </w:trPr>
        <w:tc>
          <w:tcPr>
            <w:tcW w:w="7940" w:type="dxa"/>
            <w:vAlign w:val="bottom"/>
          </w:tcPr>
          <w:p>
            <w:pPr>
              <w:ind w:left="240"/>
              <w:spacing w:after="0"/>
              <w:rPr>
                <w:sz w:val="20"/>
                <w:szCs w:val="20"/>
                <w:color w:val="auto"/>
              </w:rPr>
            </w:pPr>
            <w:r>
              <w:rPr>
                <w:rFonts w:ascii="Arial" w:cs="Arial" w:eastAsia="Arial" w:hAnsi="Arial"/>
                <w:sz w:val="17"/>
                <w:szCs w:val="17"/>
                <w:color w:val="auto"/>
              </w:rPr>
              <w:t>Equity securities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3,718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Fixed income securities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7,958</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2,831</w:t>
            </w:r>
          </w:p>
        </w:tc>
      </w:tr>
      <w:tr>
        <w:trPr>
          <w:trHeight w:val="227"/>
        </w:trPr>
        <w:tc>
          <w:tcPr>
            <w:tcW w:w="7940" w:type="dxa"/>
            <w:vAlign w:val="bottom"/>
          </w:tcPr>
          <w:p>
            <w:pPr>
              <w:ind w:left="140"/>
              <w:spacing w:after="0"/>
              <w:rPr>
                <w:sz w:val="20"/>
                <w:szCs w:val="20"/>
                <w:color w:val="auto"/>
              </w:rPr>
            </w:pPr>
            <w:r>
              <w:rPr>
                <w:rFonts w:ascii="Arial" w:cs="Arial" w:eastAsia="Arial" w:hAnsi="Arial"/>
                <w:sz w:val="17"/>
                <w:szCs w:val="17"/>
                <w:color w:val="auto"/>
              </w:rPr>
              <w:t>Municipal securities: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2"/>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Taxable securities</w:t>
            </w:r>
          </w:p>
        </w:tc>
        <w:tc>
          <w:tcPr>
            <w:tcW w:w="260" w:type="dxa"/>
            <w:vAlign w:val="bottom"/>
            <w:shd w:val="clear" w:color="auto" w:fill="F3F3F3"/>
          </w:tcPr>
          <w:p>
            <w:pPr>
              <w:spacing w:after="0"/>
              <w:rPr>
                <w:sz w:val="20"/>
                <w:szCs w:val="20"/>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8,494</w:t>
            </w:r>
          </w:p>
        </w:tc>
        <w:tc>
          <w:tcPr>
            <w:tcW w:w="100" w:type="dxa"/>
            <w:vAlign w:val="bottom"/>
            <w:shd w:val="clear" w:color="auto" w:fill="F3F3F3"/>
          </w:tcPr>
          <w:p>
            <w:pPr>
              <w:spacing w:after="0"/>
              <w:rPr>
                <w:sz w:val="20"/>
                <w:szCs w:val="20"/>
                <w:color w:val="auto"/>
              </w:rPr>
            </w:pPr>
          </w:p>
        </w:tc>
        <w:tc>
          <w:tcPr>
            <w:tcW w:w="180" w:type="dxa"/>
            <w:vAlign w:val="bottom"/>
            <w:shd w:val="clear" w:color="auto" w:fill="F3F3F3"/>
          </w:tcPr>
          <w:p>
            <w:pPr>
              <w:spacing w:after="0"/>
              <w:rPr>
                <w:sz w:val="20"/>
                <w:szCs w:val="20"/>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33,021</w:t>
            </w:r>
          </w:p>
        </w:tc>
      </w:tr>
      <w:tr>
        <w:trPr>
          <w:trHeight w:val="230"/>
        </w:trPr>
        <w:tc>
          <w:tcPr>
            <w:tcW w:w="7940" w:type="dxa"/>
            <w:vAlign w:val="bottom"/>
          </w:tcPr>
          <w:p>
            <w:pPr>
              <w:ind w:left="240"/>
              <w:spacing w:after="0"/>
              <w:rPr>
                <w:sz w:val="20"/>
                <w:szCs w:val="20"/>
                <w:color w:val="auto"/>
              </w:rPr>
            </w:pPr>
            <w:r>
              <w:rPr>
                <w:rFonts w:ascii="Arial" w:cs="Arial" w:eastAsia="Arial" w:hAnsi="Arial"/>
                <w:sz w:val="17"/>
                <w:szCs w:val="17"/>
                <w:color w:val="auto"/>
              </w:rPr>
              <w:t>Tax-exempt securities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107,805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125,419</w:t>
            </w:r>
          </w:p>
        </w:tc>
      </w:tr>
      <w:tr>
        <w:trPr>
          <w:trHeight w:val="229"/>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Short-term securities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101,589</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19,531</w:t>
            </w: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Asset-backed securities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67,530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92,472</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U.S. government agency securities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43,948</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82,666</w:t>
            </w: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color w:val="auto"/>
              </w:rPr>
              <w:t>U.S. government securities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5,161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201</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Derivative contracts</w:t>
            </w:r>
          </w:p>
        </w:tc>
        <w:tc>
          <w:tcPr>
            <w:tcW w:w="26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5,143</w:t>
            </w:r>
          </w:p>
        </w:tc>
        <w:tc>
          <w:tcPr>
            <w:tcW w:w="10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spacing w:after="0"/>
              <w:rPr>
                <w:sz w:val="19"/>
                <w:szCs w:val="19"/>
                <w:color w:val="auto"/>
              </w:rPr>
            </w:pP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5,823</w:t>
            </w:r>
          </w:p>
        </w:tc>
      </w:tr>
      <w:tr>
        <w:trPr>
          <w:trHeight w:val="223"/>
        </w:trPr>
        <w:tc>
          <w:tcPr>
            <w:tcW w:w="7940" w:type="dxa"/>
            <w:vAlign w:val="bottom"/>
          </w:tcPr>
          <w:p>
            <w:pPr>
              <w:ind w:left="20"/>
              <w:spacing w:after="0"/>
              <w:rPr>
                <w:sz w:val="20"/>
                <w:szCs w:val="20"/>
                <w:color w:val="auto"/>
              </w:rPr>
            </w:pPr>
            <w:r>
              <w:rPr>
                <w:rFonts w:ascii="Arial" w:cs="Arial" w:eastAsia="Arial" w:hAnsi="Arial"/>
                <w:sz w:val="17"/>
                <w:szCs w:val="17"/>
                <w:b w:val="1"/>
                <w:bCs w:val="1"/>
                <w:color w:val="auto"/>
              </w:rPr>
              <w:t>Total financial instruments and other inventory positions owned</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485,325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502,270</w:t>
            </w:r>
          </w:p>
        </w:tc>
      </w:tr>
      <w:tr>
        <w:trPr>
          <w:trHeight w:val="20"/>
        </w:trPr>
        <w:tc>
          <w:tcPr>
            <w:tcW w:w="7940" w:type="dxa"/>
            <w:vAlign w:val="bottom"/>
            <w:tcBorders>
              <w:bottom w:val="single" w:sz="8" w:color="F3F3F3"/>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3F3F3"/>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794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spacing w:after="0"/>
              <w:rPr>
                <w:sz w:val="19"/>
                <w:szCs w:val="19"/>
                <w:color w:val="auto"/>
              </w:rPr>
            </w:pPr>
          </w:p>
        </w:tc>
      </w:tr>
      <w:tr>
        <w:trPr>
          <w:trHeight w:val="229"/>
        </w:trPr>
        <w:tc>
          <w:tcPr>
            <w:tcW w:w="79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Financial instruments and other inventory positions sold, but not yet purchased</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Corporate securities: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spacing w:after="0"/>
              <w:rPr>
                <w:sz w:val="19"/>
                <w:szCs w:val="19"/>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7"/>
                <w:szCs w:val="17"/>
                <w:color w:val="auto"/>
              </w:rPr>
              <w:t>Equity securities</w:t>
            </w:r>
          </w:p>
        </w:tc>
        <w:tc>
          <w:tcPr>
            <w:tcW w:w="260" w:type="dxa"/>
            <w:vAlign w:val="bottom"/>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723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Fixed income securities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520</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3,300</w:t>
            </w: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U.S. government securities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40,004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43,403</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Derivative contracts</w:t>
            </w:r>
          </w:p>
        </w:tc>
        <w:tc>
          <w:tcPr>
            <w:tcW w:w="26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1,895</w:t>
            </w:r>
          </w:p>
        </w:tc>
        <w:tc>
          <w:tcPr>
            <w:tcW w:w="10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spacing w:after="0"/>
              <w:rPr>
                <w:sz w:val="19"/>
                <w:szCs w:val="19"/>
                <w:color w:val="auto"/>
              </w:rPr>
            </w:pP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1,811</w:t>
            </w:r>
          </w:p>
        </w:tc>
      </w:tr>
      <w:tr>
        <w:trPr>
          <w:trHeight w:val="223"/>
        </w:trPr>
        <w:tc>
          <w:tcPr>
            <w:tcW w:w="7940" w:type="dxa"/>
            <w:vAlign w:val="bottom"/>
          </w:tcPr>
          <w:p>
            <w:pPr>
              <w:ind w:left="20"/>
              <w:spacing w:after="0"/>
              <w:rPr>
                <w:sz w:val="20"/>
                <w:szCs w:val="20"/>
                <w:color w:val="auto"/>
              </w:rPr>
            </w:pPr>
            <w:r>
              <w:rPr>
                <w:rFonts w:ascii="Arial" w:cs="Arial" w:eastAsia="Arial" w:hAnsi="Arial"/>
                <w:sz w:val="17"/>
                <w:szCs w:val="17"/>
                <w:b w:val="1"/>
                <w:bCs w:val="1"/>
                <w:color w:val="auto"/>
              </w:rPr>
              <w:t>Total financial instruments and other inventory positions sold, but not yet purchased</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43,142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48,514</w:t>
            </w:r>
          </w:p>
        </w:tc>
      </w:tr>
      <w:tr>
        <w:trPr>
          <w:trHeight w:val="20"/>
        </w:trPr>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At March 31, 2026 and December 31, 2025, financial instruments and other inventory positions owned in the amount of $64.0 million and $67.1 million, respectively, had been pledged as collateral for short-term financing arrangements.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Financial instruments and other inventory positions sold, but not yet purchased represent obligations of the Company to deliver the specified security at the contracted price, thereby creating a liability to purchase the security in the market at prevailing prices. The Company is obligated to acquire the securities sold short at prevailing market prices, which may exceed the amount reflected on the consolidated statements of financial condition. The Company economically hedges changes in the market value of its financial instruments and other inventory positions owned using inventory positions sold, but not yet purchased, interest rate derivatives, U.S. treasury bond futures and options, and equity option contracts.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Contract Financial Instruments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Matched-Book Derivatives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enters into interest rate derivative contracts in a principal capacity as a dealer to satisfy the financial needs of its customers. The Company simultaneously enters into an interest rate derivative contract with a third party for the same notional amount to hedge the interest rate and credit risk of the initial client interest rate derivative contract. In certain instances, the Company has only hedged interest rate risk with a third party, and retains uncollateralized credit risk as described below. These instruments use rates based upon the Secured Overnight Financing Rate ("SOFR") index, the MMD index or the Securities Industry and Financial Markets Association ("SIFMA") index.</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Securities Derivatives</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enters into interest rate derivative contracts and uses U.S. treasury bond futures and options to hedge interest rate and market value risks primarily associated with its fixed income securities. These instruments use rates based upon the MMD index. The Company also enters into equity option contracts to hedge market value risk associated with its convertible securities. The Company may enter into credit default swap contracts to hedge credit spread risk associated with the debt instruments held in our trading inventory. These instruments use rates based upon the Credit Default Swap Index ("CDX").</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Derivatives are reported on a net basis by counterparty (i.e., the net payable or receivable for derivative assets and liabilities for a given counterparty) when a legal right of offset exists and on a net basis by cross product when applicable provisions are stated in master netting agreements. Cash collateral received or paid is netted on a counterparty basis, provided a legal right of offset exists. The total absolute notional contract amount, representing the absolute value of the sum of gross long and short derivative contracts, provides an indication of the volume of the Company's derivative activity and does not represent gains and losses. The following table presents the gross fair market value and the total absolute notional contract amount of the Company's outstanding derivative instruments, prior to counterparty netting, by asset or liability position: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rPr>
              <w:t>March 31, 2026</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7"/>
                <w:szCs w:val="17"/>
                <w:b w:val="1"/>
                <w:bCs w:val="1"/>
                <w:color w:val="auto"/>
                <w:w w:val="99"/>
              </w:rPr>
              <w:t>December 31, 2025</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18"/>
        </w:trPr>
        <w:tc>
          <w:tcPr>
            <w:tcW w:w="2580" w:type="dxa"/>
            <w:vAlign w:val="bottom"/>
            <w:gridSpan w:val="2"/>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200" w:type="dxa"/>
            <w:vAlign w:val="bottom"/>
          </w:tcPr>
          <w:p>
            <w:pPr>
              <w:spacing w:after="0"/>
              <w:rPr>
                <w:sz w:val="18"/>
                <w:szCs w:val="18"/>
                <w:color w:val="auto"/>
              </w:rPr>
            </w:pPr>
          </w:p>
        </w:tc>
        <w:tc>
          <w:tcPr>
            <w:tcW w:w="1260" w:type="dxa"/>
            <w:vAlign w:val="bottom"/>
            <w:gridSpan w:val="2"/>
          </w:tcPr>
          <w:p>
            <w:pPr>
              <w:ind w:left="80"/>
              <w:spacing w:after="0"/>
              <w:rPr>
                <w:sz w:val="20"/>
                <w:szCs w:val="20"/>
                <w:color w:val="auto"/>
              </w:rPr>
            </w:pPr>
            <w:r>
              <w:rPr>
                <w:rFonts w:ascii="Arial" w:cs="Arial" w:eastAsia="Arial" w:hAnsi="Arial"/>
                <w:sz w:val="17"/>
                <w:szCs w:val="17"/>
                <w:b w:val="1"/>
                <w:bCs w:val="1"/>
                <w:color w:val="auto"/>
              </w:rPr>
              <w:t>Derivative</w:t>
            </w:r>
          </w:p>
        </w:tc>
        <w:tc>
          <w:tcPr>
            <w:tcW w:w="14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8"/>
              </w:rPr>
              <w:t>Derivative</w:t>
            </w:r>
          </w:p>
        </w:tc>
        <w:tc>
          <w:tcPr>
            <w:tcW w:w="220" w:type="dxa"/>
            <w:vAlign w:val="bottom"/>
          </w:tcPr>
          <w:p>
            <w:pPr>
              <w:spacing w:after="0"/>
              <w:rPr>
                <w:sz w:val="18"/>
                <w:szCs w:val="18"/>
                <w:color w:val="auto"/>
              </w:rPr>
            </w:pPr>
          </w:p>
        </w:tc>
        <w:tc>
          <w:tcPr>
            <w:tcW w:w="1100" w:type="dxa"/>
            <w:vAlign w:val="bottom"/>
          </w:tcPr>
          <w:p>
            <w:pPr>
              <w:ind w:left="100"/>
              <w:spacing w:after="0"/>
              <w:rPr>
                <w:sz w:val="20"/>
                <w:szCs w:val="20"/>
                <w:color w:val="auto"/>
              </w:rPr>
            </w:pPr>
            <w:r>
              <w:rPr>
                <w:rFonts w:ascii="Arial" w:cs="Arial" w:eastAsia="Arial" w:hAnsi="Arial"/>
                <w:sz w:val="17"/>
                <w:szCs w:val="17"/>
                <w:b w:val="1"/>
                <w:bCs w:val="1"/>
                <w:color w:val="auto"/>
              </w:rPr>
              <w:t>Notional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Derivative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Derivative</w:t>
            </w:r>
          </w:p>
        </w:tc>
        <w:tc>
          <w:tcPr>
            <w:tcW w:w="220" w:type="dxa"/>
            <w:vAlign w:val="bottom"/>
          </w:tcPr>
          <w:p>
            <w:pPr>
              <w:spacing w:after="0"/>
              <w:rPr>
                <w:sz w:val="18"/>
                <w:szCs w:val="18"/>
                <w:color w:val="auto"/>
              </w:rPr>
            </w:pPr>
          </w:p>
        </w:tc>
        <w:tc>
          <w:tcPr>
            <w:tcW w:w="1100" w:type="dxa"/>
            <w:vAlign w:val="bottom"/>
          </w:tcPr>
          <w:p>
            <w:pPr>
              <w:jc w:val="right"/>
              <w:ind w:right="235"/>
              <w:spacing w:after="0"/>
              <w:rPr>
                <w:sz w:val="20"/>
                <w:szCs w:val="20"/>
                <w:color w:val="auto"/>
              </w:rPr>
            </w:pPr>
            <w:r>
              <w:rPr>
                <w:rFonts w:ascii="Arial" w:cs="Arial" w:eastAsia="Arial" w:hAnsi="Arial"/>
                <w:sz w:val="17"/>
                <w:szCs w:val="17"/>
                <w:b w:val="1"/>
                <w:bCs w:val="1"/>
                <w:color w:val="auto"/>
              </w:rPr>
              <w:t>Notional</w:t>
            </w:r>
          </w:p>
        </w:tc>
      </w:tr>
      <w:tr>
        <w:trPr>
          <w:trHeight w:val="236"/>
        </w:trPr>
        <w:tc>
          <w:tcPr>
            <w:tcW w:w="2580" w:type="dxa"/>
            <w:vAlign w:val="bottom"/>
            <w:gridSpan w:val="2"/>
          </w:tcPr>
          <w:p>
            <w:pPr>
              <w:ind w:left="20"/>
              <w:spacing w:after="0"/>
              <w:rPr>
                <w:sz w:val="20"/>
                <w:szCs w:val="20"/>
                <w:color w:val="auto"/>
              </w:rPr>
            </w:pPr>
            <w:r>
              <w:rPr>
                <w:rFonts w:ascii="Arial" w:cs="Arial" w:eastAsia="Arial" w:hAnsi="Arial"/>
                <w:sz w:val="17"/>
                <w:szCs w:val="17"/>
                <w:b w:val="1"/>
                <w:bCs w:val="1"/>
                <w:color w:val="auto"/>
              </w:rPr>
              <w:t>Derivative Category</w:t>
            </w:r>
          </w:p>
        </w:tc>
        <w:tc>
          <w:tcPr>
            <w:tcW w:w="200" w:type="dxa"/>
            <w:vAlign w:val="bottom"/>
          </w:tcPr>
          <w:p>
            <w:pPr>
              <w:spacing w:after="0"/>
              <w:rPr>
                <w:sz w:val="20"/>
                <w:szCs w:val="20"/>
                <w:color w:val="auto"/>
              </w:rPr>
            </w:pPr>
          </w:p>
        </w:tc>
        <w:tc>
          <w:tcPr>
            <w:tcW w:w="1260" w:type="dxa"/>
            <w:vAlign w:val="bottom"/>
            <w:gridSpan w:val="2"/>
          </w:tcPr>
          <w:p>
            <w:pPr>
              <w:ind w:left="80"/>
              <w:spacing w:after="0"/>
              <w:rPr>
                <w:sz w:val="20"/>
                <w:szCs w:val="20"/>
                <w:color w:val="auto"/>
              </w:rPr>
            </w:pPr>
            <w:r>
              <w:rPr>
                <w:rFonts w:ascii="Arial" w:cs="Arial" w:eastAsia="Arial" w:hAnsi="Arial"/>
                <w:sz w:val="17"/>
                <w:szCs w:val="17"/>
                <w:b w:val="1"/>
                <w:bCs w:val="1"/>
                <w:color w:val="auto"/>
              </w:rPr>
              <w:t>Assets (1)</w:t>
            </w:r>
          </w:p>
        </w:tc>
        <w:tc>
          <w:tcPr>
            <w:tcW w:w="14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Liabilities (2)</w:t>
            </w:r>
          </w:p>
        </w:tc>
        <w:tc>
          <w:tcPr>
            <w:tcW w:w="220" w:type="dxa"/>
            <w:vAlign w:val="bottom"/>
          </w:tcPr>
          <w:p>
            <w:pPr>
              <w:spacing w:after="0"/>
              <w:rPr>
                <w:sz w:val="20"/>
                <w:szCs w:val="20"/>
                <w:color w:val="auto"/>
              </w:rPr>
            </w:pPr>
          </w:p>
        </w:tc>
        <w:tc>
          <w:tcPr>
            <w:tcW w:w="1200" w:type="dxa"/>
            <w:vAlign w:val="bottom"/>
            <w:gridSpan w:val="2"/>
          </w:tcPr>
          <w:p>
            <w:pPr>
              <w:ind w:left="120"/>
              <w:spacing w:after="0"/>
              <w:rPr>
                <w:sz w:val="20"/>
                <w:szCs w:val="20"/>
                <w:color w:val="auto"/>
              </w:rPr>
            </w:pPr>
            <w:r>
              <w:rPr>
                <w:rFonts w:ascii="Arial" w:cs="Arial" w:eastAsia="Arial" w:hAnsi="Arial"/>
                <w:sz w:val="17"/>
                <w:szCs w:val="17"/>
                <w:b w:val="1"/>
                <w:bCs w:val="1"/>
                <w:color w:val="auto"/>
              </w:rPr>
              <w:t>Amount</w:t>
            </w:r>
          </w:p>
        </w:tc>
        <w:tc>
          <w:tcPr>
            <w:tcW w:w="200" w:type="dxa"/>
            <w:vAlign w:val="bottom"/>
          </w:tcPr>
          <w:p>
            <w:pPr>
              <w:spacing w:after="0"/>
              <w:rPr>
                <w:sz w:val="20"/>
                <w:szCs w:val="20"/>
                <w:color w:val="auto"/>
              </w:rPr>
            </w:pPr>
          </w:p>
        </w:tc>
        <w:tc>
          <w:tcPr>
            <w:tcW w:w="1160" w:type="dxa"/>
            <w:vAlign w:val="bottom"/>
          </w:tcPr>
          <w:p>
            <w:pPr>
              <w:jc w:val="right"/>
              <w:ind w:right="195"/>
              <w:spacing w:after="0"/>
              <w:rPr>
                <w:sz w:val="20"/>
                <w:szCs w:val="20"/>
                <w:color w:val="auto"/>
              </w:rPr>
            </w:pPr>
            <w:r>
              <w:rPr>
                <w:rFonts w:ascii="Arial" w:cs="Arial" w:eastAsia="Arial" w:hAnsi="Arial"/>
                <w:sz w:val="17"/>
                <w:szCs w:val="17"/>
                <w:b w:val="1"/>
                <w:bCs w:val="1"/>
                <w:color w:val="auto"/>
              </w:rPr>
              <w:t>Assets (1)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rPr>
              <w:t>Liabilities (2)</w:t>
            </w:r>
          </w:p>
        </w:tc>
        <w:tc>
          <w:tcPr>
            <w:tcW w:w="220" w:type="dxa"/>
            <w:vAlign w:val="bottom"/>
          </w:tcPr>
          <w:p>
            <w:pPr>
              <w:spacing w:after="0"/>
              <w:rPr>
                <w:sz w:val="20"/>
                <w:szCs w:val="20"/>
                <w:color w:val="auto"/>
              </w:rPr>
            </w:pPr>
          </w:p>
        </w:tc>
        <w:tc>
          <w:tcPr>
            <w:tcW w:w="1100" w:type="dxa"/>
            <w:vAlign w:val="bottom"/>
          </w:tcPr>
          <w:p>
            <w:pPr>
              <w:jc w:val="right"/>
              <w:ind w:right="255"/>
              <w:spacing w:after="0"/>
              <w:rPr>
                <w:sz w:val="20"/>
                <w:szCs w:val="20"/>
                <w:color w:val="auto"/>
              </w:rPr>
            </w:pPr>
            <w:r>
              <w:rPr>
                <w:rFonts w:ascii="Arial" w:cs="Arial" w:eastAsia="Arial" w:hAnsi="Arial"/>
                <w:sz w:val="17"/>
                <w:szCs w:val="17"/>
                <w:b w:val="1"/>
                <w:bCs w:val="1"/>
                <w:color w:val="auto"/>
              </w:rPr>
              <w:t>Amount</w:t>
            </w:r>
          </w:p>
        </w:tc>
      </w:tr>
      <w:tr>
        <w:trPr>
          <w:trHeight w:val="225"/>
        </w:trPr>
        <w:tc>
          <w:tcPr>
            <w:tcW w:w="2500" w:type="dxa"/>
            <w:vAlign w:val="bottom"/>
            <w:tcBorders>
              <w:top w:val="single" w:sz="8" w:color="auto"/>
            </w:tcBorders>
            <w:shd w:val="clear" w:color="auto" w:fill="F3F3F3"/>
          </w:tcPr>
          <w:p>
            <w:pPr>
              <w:ind w:left="20"/>
              <w:spacing w:after="0"/>
              <w:rPr>
                <w:sz w:val="20"/>
                <w:szCs w:val="20"/>
                <w:color w:val="auto"/>
              </w:rPr>
            </w:pPr>
            <w:r>
              <w:rPr>
                <w:rFonts w:ascii="Arial" w:cs="Arial" w:eastAsia="Arial" w:hAnsi="Arial"/>
                <w:sz w:val="17"/>
                <w:szCs w:val="17"/>
                <w:color w:val="auto"/>
              </w:rPr>
              <w:t>Interest rate:</w:t>
            </w:r>
          </w:p>
        </w:tc>
        <w:tc>
          <w:tcPr>
            <w:tcW w:w="80" w:type="dxa"/>
            <w:vAlign w:val="bottom"/>
            <w:tcBorders>
              <w:top w:val="single" w:sz="8" w:color="F3F3F3"/>
            </w:tcBorders>
            <w:shd w:val="clear" w:color="auto" w:fill="F3F3F3"/>
          </w:tcPr>
          <w:p>
            <w:pPr>
              <w:spacing w:after="0"/>
              <w:rPr>
                <w:sz w:val="19"/>
                <w:szCs w:val="19"/>
                <w:color w:val="auto"/>
              </w:rPr>
            </w:pPr>
          </w:p>
        </w:tc>
        <w:tc>
          <w:tcPr>
            <w:tcW w:w="200" w:type="dxa"/>
            <w:vAlign w:val="bottom"/>
            <w:tcBorders>
              <w:top w:val="single" w:sz="8" w:color="auto"/>
            </w:tcBorders>
            <w:shd w:val="clear" w:color="auto" w:fill="F3F3F3"/>
          </w:tcPr>
          <w:p>
            <w:pPr>
              <w:spacing w:after="0"/>
              <w:rPr>
                <w:sz w:val="19"/>
                <w:szCs w:val="19"/>
                <w:color w:val="auto"/>
              </w:rPr>
            </w:pPr>
          </w:p>
        </w:tc>
        <w:tc>
          <w:tcPr>
            <w:tcW w:w="1160" w:type="dxa"/>
            <w:vAlign w:val="bottom"/>
            <w:tcBorders>
              <w:top w:val="single" w:sz="8" w:color="auto"/>
            </w:tcBorders>
            <w:shd w:val="clear" w:color="auto" w:fill="F3F3F3"/>
          </w:tcPr>
          <w:p>
            <w:pPr>
              <w:spacing w:after="0"/>
              <w:rPr>
                <w:sz w:val="19"/>
                <w:szCs w:val="19"/>
                <w:color w:val="auto"/>
              </w:rPr>
            </w:pPr>
          </w:p>
        </w:tc>
        <w:tc>
          <w:tcPr>
            <w:tcW w:w="100" w:type="dxa"/>
            <w:vAlign w:val="bottom"/>
            <w:tcBorders>
              <w:top w:val="single" w:sz="8" w:color="F3F3F3"/>
            </w:tcBorders>
            <w:shd w:val="clear" w:color="auto" w:fill="F3F3F3"/>
          </w:tcPr>
          <w:p>
            <w:pPr>
              <w:spacing w:after="0"/>
              <w:rPr>
                <w:sz w:val="19"/>
                <w:szCs w:val="19"/>
                <w:color w:val="auto"/>
              </w:rPr>
            </w:pPr>
          </w:p>
        </w:tc>
        <w:tc>
          <w:tcPr>
            <w:tcW w:w="140" w:type="dxa"/>
            <w:vAlign w:val="bottom"/>
            <w:tcBorders>
              <w:top w:val="single" w:sz="8" w:color="auto"/>
            </w:tcBorders>
            <w:shd w:val="clear" w:color="auto" w:fill="F3F3F3"/>
          </w:tcPr>
          <w:p>
            <w:pPr>
              <w:spacing w:after="0"/>
              <w:rPr>
                <w:sz w:val="19"/>
                <w:szCs w:val="19"/>
                <w:color w:val="auto"/>
              </w:rPr>
            </w:pPr>
          </w:p>
        </w:tc>
        <w:tc>
          <w:tcPr>
            <w:tcW w:w="1260" w:type="dxa"/>
            <w:vAlign w:val="bottom"/>
            <w:tcBorders>
              <w:top w:val="single" w:sz="8" w:color="auto"/>
            </w:tcBorders>
            <w:shd w:val="clear" w:color="auto" w:fill="F3F3F3"/>
          </w:tcPr>
          <w:p>
            <w:pPr>
              <w:spacing w:after="0"/>
              <w:rPr>
                <w:sz w:val="19"/>
                <w:szCs w:val="19"/>
                <w:color w:val="auto"/>
              </w:rPr>
            </w:pPr>
          </w:p>
        </w:tc>
        <w:tc>
          <w:tcPr>
            <w:tcW w:w="100" w:type="dxa"/>
            <w:vAlign w:val="bottom"/>
            <w:tcBorders>
              <w:top w:val="single" w:sz="8" w:color="F3F3F3"/>
            </w:tcBorders>
            <w:shd w:val="clear" w:color="auto" w:fill="F3F3F3"/>
          </w:tcPr>
          <w:p>
            <w:pPr>
              <w:spacing w:after="0"/>
              <w:rPr>
                <w:sz w:val="19"/>
                <w:szCs w:val="19"/>
                <w:color w:val="auto"/>
              </w:rPr>
            </w:pPr>
          </w:p>
        </w:tc>
        <w:tc>
          <w:tcPr>
            <w:tcW w:w="220" w:type="dxa"/>
            <w:vAlign w:val="bottom"/>
            <w:tcBorders>
              <w:top w:val="single" w:sz="8" w:color="auto"/>
            </w:tcBorders>
            <w:shd w:val="clear" w:color="auto" w:fill="F3F3F3"/>
          </w:tcPr>
          <w:p>
            <w:pPr>
              <w:spacing w:after="0"/>
              <w:rPr>
                <w:sz w:val="19"/>
                <w:szCs w:val="19"/>
                <w:color w:val="auto"/>
              </w:rPr>
            </w:pPr>
          </w:p>
        </w:tc>
        <w:tc>
          <w:tcPr>
            <w:tcW w:w="1100" w:type="dxa"/>
            <w:vAlign w:val="bottom"/>
            <w:tcBorders>
              <w:top w:val="single" w:sz="8" w:color="auto"/>
            </w:tcBorders>
            <w:shd w:val="clear" w:color="auto" w:fill="F3F3F3"/>
          </w:tcPr>
          <w:p>
            <w:pPr>
              <w:spacing w:after="0"/>
              <w:rPr>
                <w:sz w:val="19"/>
                <w:szCs w:val="19"/>
                <w:color w:val="auto"/>
              </w:rPr>
            </w:pPr>
          </w:p>
        </w:tc>
        <w:tc>
          <w:tcPr>
            <w:tcW w:w="100" w:type="dxa"/>
            <w:vAlign w:val="bottom"/>
            <w:tcBorders>
              <w:top w:val="single" w:sz="8" w:color="F3F3F3"/>
            </w:tcBorders>
            <w:shd w:val="clear" w:color="auto" w:fill="F3F3F3"/>
          </w:tcPr>
          <w:p>
            <w:pPr>
              <w:spacing w:after="0"/>
              <w:rPr>
                <w:sz w:val="19"/>
                <w:szCs w:val="19"/>
                <w:color w:val="auto"/>
              </w:rPr>
            </w:pPr>
          </w:p>
        </w:tc>
        <w:tc>
          <w:tcPr>
            <w:tcW w:w="200" w:type="dxa"/>
            <w:vAlign w:val="bottom"/>
            <w:tcBorders>
              <w:top w:val="single" w:sz="8" w:color="auto"/>
            </w:tcBorders>
            <w:shd w:val="clear" w:color="auto" w:fill="F3F3F3"/>
          </w:tcPr>
          <w:p>
            <w:pPr>
              <w:spacing w:after="0"/>
              <w:rPr>
                <w:sz w:val="19"/>
                <w:szCs w:val="19"/>
                <w:color w:val="auto"/>
              </w:rPr>
            </w:pPr>
          </w:p>
        </w:tc>
        <w:tc>
          <w:tcPr>
            <w:tcW w:w="1160" w:type="dxa"/>
            <w:vAlign w:val="bottom"/>
            <w:tcBorders>
              <w:top w:val="single" w:sz="8" w:color="auto"/>
            </w:tcBorders>
            <w:shd w:val="clear" w:color="auto" w:fill="F3F3F3"/>
          </w:tcPr>
          <w:p>
            <w:pPr>
              <w:spacing w:after="0"/>
              <w:rPr>
                <w:sz w:val="19"/>
                <w:szCs w:val="19"/>
                <w:color w:val="auto"/>
              </w:rPr>
            </w:pPr>
          </w:p>
        </w:tc>
        <w:tc>
          <w:tcPr>
            <w:tcW w:w="80" w:type="dxa"/>
            <w:vAlign w:val="bottom"/>
            <w:tcBorders>
              <w:top w:val="single" w:sz="8" w:color="F3F3F3"/>
            </w:tcBorders>
            <w:shd w:val="clear" w:color="auto" w:fill="F3F3F3"/>
          </w:tcPr>
          <w:p>
            <w:pPr>
              <w:spacing w:after="0"/>
              <w:rPr>
                <w:sz w:val="19"/>
                <w:szCs w:val="19"/>
                <w:color w:val="auto"/>
              </w:rPr>
            </w:pPr>
          </w:p>
        </w:tc>
        <w:tc>
          <w:tcPr>
            <w:tcW w:w="160" w:type="dxa"/>
            <w:vAlign w:val="bottom"/>
            <w:tcBorders>
              <w:top w:val="single" w:sz="8" w:color="auto"/>
            </w:tcBorders>
            <w:shd w:val="clear" w:color="auto" w:fill="F3F3F3"/>
          </w:tcPr>
          <w:p>
            <w:pPr>
              <w:spacing w:after="0"/>
              <w:rPr>
                <w:sz w:val="19"/>
                <w:szCs w:val="19"/>
                <w:color w:val="auto"/>
              </w:rPr>
            </w:pPr>
          </w:p>
        </w:tc>
        <w:tc>
          <w:tcPr>
            <w:tcW w:w="1260" w:type="dxa"/>
            <w:vAlign w:val="bottom"/>
            <w:tcBorders>
              <w:top w:val="single" w:sz="8" w:color="auto"/>
            </w:tcBorders>
            <w:shd w:val="clear" w:color="auto" w:fill="F3F3F3"/>
          </w:tcPr>
          <w:p>
            <w:pPr>
              <w:spacing w:after="0"/>
              <w:rPr>
                <w:sz w:val="19"/>
                <w:szCs w:val="19"/>
                <w:color w:val="auto"/>
              </w:rPr>
            </w:pPr>
          </w:p>
        </w:tc>
        <w:tc>
          <w:tcPr>
            <w:tcW w:w="100" w:type="dxa"/>
            <w:vAlign w:val="bottom"/>
            <w:tcBorders>
              <w:top w:val="single" w:sz="8" w:color="F3F3F3"/>
            </w:tcBorders>
            <w:shd w:val="clear" w:color="auto" w:fill="F3F3F3"/>
          </w:tcPr>
          <w:p>
            <w:pPr>
              <w:spacing w:after="0"/>
              <w:rPr>
                <w:sz w:val="19"/>
                <w:szCs w:val="19"/>
                <w:color w:val="auto"/>
              </w:rPr>
            </w:pPr>
          </w:p>
        </w:tc>
        <w:tc>
          <w:tcPr>
            <w:tcW w:w="220" w:type="dxa"/>
            <w:vAlign w:val="bottom"/>
            <w:tcBorders>
              <w:top w:val="single" w:sz="8" w:color="auto"/>
            </w:tcBorders>
            <w:shd w:val="clear" w:color="auto" w:fill="F3F3F3"/>
          </w:tcPr>
          <w:p>
            <w:pPr>
              <w:spacing w:after="0"/>
              <w:rPr>
                <w:sz w:val="19"/>
                <w:szCs w:val="19"/>
                <w:color w:val="auto"/>
              </w:rPr>
            </w:pPr>
          </w:p>
        </w:tc>
        <w:tc>
          <w:tcPr>
            <w:tcW w:w="1100" w:type="dxa"/>
            <w:vAlign w:val="bottom"/>
            <w:tcBorders>
              <w:top w:val="single" w:sz="8" w:color="auto"/>
            </w:tcBorders>
            <w:shd w:val="clear" w:color="auto" w:fill="F3F3F3"/>
          </w:tcPr>
          <w:p>
            <w:pPr>
              <w:spacing w:after="0"/>
              <w:rPr>
                <w:sz w:val="19"/>
                <w:szCs w:val="19"/>
                <w:color w:val="auto"/>
              </w:rPr>
            </w:pPr>
          </w:p>
        </w:tc>
      </w:tr>
      <w:tr>
        <w:trPr>
          <w:trHeight w:val="230"/>
        </w:trPr>
        <w:tc>
          <w:tcPr>
            <w:tcW w:w="2580" w:type="dxa"/>
            <w:vAlign w:val="bottom"/>
            <w:gridSpan w:val="2"/>
          </w:tcPr>
          <w:p>
            <w:pPr>
              <w:ind w:left="140"/>
              <w:spacing w:after="0"/>
              <w:rPr>
                <w:sz w:val="20"/>
                <w:szCs w:val="20"/>
                <w:color w:val="auto"/>
              </w:rPr>
            </w:pPr>
            <w:r>
              <w:rPr>
                <w:rFonts w:ascii="Arial" w:cs="Arial" w:eastAsia="Arial" w:hAnsi="Arial"/>
                <w:sz w:val="17"/>
                <w:szCs w:val="17"/>
                <w:color w:val="auto"/>
              </w:rPr>
              <w:t>Customer matched-book</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auto"/>
              </w:rPr>
              <w:t>7,066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4,938</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364,758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7,033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4,878</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355,129</w:t>
            </w:r>
          </w:p>
        </w:tc>
      </w:tr>
      <w:tr>
        <w:trPr>
          <w:trHeight w:val="229"/>
        </w:trPr>
        <w:tc>
          <w:tcPr>
            <w:tcW w:w="2580" w:type="dxa"/>
            <w:vAlign w:val="bottom"/>
            <w:gridSpan w:val="2"/>
            <w:shd w:val="clear" w:color="auto" w:fill="F3F3F3"/>
          </w:tcPr>
          <w:p>
            <w:pPr>
              <w:ind w:left="140"/>
              <w:spacing w:after="0"/>
              <w:rPr>
                <w:sz w:val="20"/>
                <w:szCs w:val="20"/>
                <w:color w:val="auto"/>
              </w:rPr>
            </w:pPr>
            <w:r>
              <w:rPr>
                <w:rFonts w:ascii="Arial" w:cs="Arial" w:eastAsia="Arial" w:hAnsi="Arial"/>
                <w:sz w:val="17"/>
                <w:szCs w:val="17"/>
                <w:color w:val="auto"/>
              </w:rPr>
              <w:t>Trading securities</w:t>
            </w:r>
          </w:p>
        </w:tc>
        <w:tc>
          <w:tcPr>
            <w:tcW w:w="200" w:type="dxa"/>
            <w:vAlign w:val="bottom"/>
            <w:tcBorders>
              <w:bottom w:val="single" w:sz="8" w:color="auto"/>
            </w:tcBorders>
            <w:shd w:val="clear" w:color="auto" w:fill="F3F3F3"/>
          </w:tcPr>
          <w:p>
            <w:pPr>
              <w:spacing w:after="0"/>
              <w:rPr>
                <w:sz w:val="19"/>
                <w:szCs w:val="19"/>
                <w:color w:val="auto"/>
              </w:rPr>
            </w:pPr>
          </w:p>
        </w:tc>
        <w:tc>
          <w:tcPr>
            <w:tcW w:w="11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2,819</w:t>
            </w:r>
          </w:p>
        </w:tc>
        <w:tc>
          <w:tcPr>
            <w:tcW w:w="100" w:type="dxa"/>
            <w:vAlign w:val="bottom"/>
            <w:shd w:val="clear" w:color="auto" w:fill="F3F3F3"/>
          </w:tcPr>
          <w:p>
            <w:pPr>
              <w:spacing w:after="0"/>
              <w:rPr>
                <w:sz w:val="19"/>
                <w:szCs w:val="19"/>
                <w:color w:val="auto"/>
              </w:rPr>
            </w:pPr>
          </w:p>
        </w:tc>
        <w:tc>
          <w:tcPr>
            <w:tcW w:w="140" w:type="dxa"/>
            <w:vAlign w:val="bottom"/>
            <w:tcBorders>
              <w:bottom w:val="single" w:sz="8" w:color="auto"/>
            </w:tcBorders>
            <w:shd w:val="clear" w:color="auto" w:fill="F3F3F3"/>
          </w:tcPr>
          <w:p>
            <w:pPr>
              <w:spacing w:after="0"/>
              <w:rPr>
                <w:sz w:val="19"/>
                <w:szCs w:val="19"/>
                <w:color w:val="auto"/>
              </w:rPr>
            </w:pPr>
          </w:p>
        </w:tc>
        <w:tc>
          <w:tcPr>
            <w:tcW w:w="12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3,807</w:t>
            </w:r>
          </w:p>
        </w:tc>
        <w:tc>
          <w:tcPr>
            <w:tcW w:w="100" w:type="dxa"/>
            <w:vAlign w:val="bottom"/>
            <w:shd w:val="clear" w:color="auto" w:fill="F3F3F3"/>
          </w:tcPr>
          <w:p>
            <w:pPr>
              <w:spacing w:after="0"/>
              <w:rPr>
                <w:sz w:val="19"/>
                <w:szCs w:val="19"/>
                <w:color w:val="auto"/>
              </w:rPr>
            </w:pPr>
          </w:p>
        </w:tc>
        <w:tc>
          <w:tcPr>
            <w:tcW w:w="220" w:type="dxa"/>
            <w:vAlign w:val="bottom"/>
            <w:tcBorders>
              <w:bottom w:val="single" w:sz="8" w:color="auto"/>
            </w:tcBorders>
            <w:shd w:val="clear" w:color="auto" w:fill="F3F3F3"/>
          </w:tcPr>
          <w:p>
            <w:pPr>
              <w:spacing w:after="0"/>
              <w:rPr>
                <w:sz w:val="19"/>
                <w:szCs w:val="19"/>
                <w:color w:val="auto"/>
              </w:rPr>
            </w:pPr>
          </w:p>
        </w:tc>
        <w:tc>
          <w:tcPr>
            <w:tcW w:w="11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227,760</w:t>
            </w:r>
          </w:p>
        </w:tc>
        <w:tc>
          <w:tcPr>
            <w:tcW w:w="100" w:type="dxa"/>
            <w:vAlign w:val="bottom"/>
            <w:shd w:val="clear" w:color="auto" w:fill="F3F3F3"/>
          </w:tcPr>
          <w:p>
            <w:pPr>
              <w:spacing w:after="0"/>
              <w:rPr>
                <w:sz w:val="19"/>
                <w:szCs w:val="19"/>
                <w:color w:val="auto"/>
              </w:rPr>
            </w:pPr>
          </w:p>
        </w:tc>
        <w:tc>
          <w:tcPr>
            <w:tcW w:w="200" w:type="dxa"/>
            <w:vAlign w:val="bottom"/>
            <w:tcBorders>
              <w:bottom w:val="single" w:sz="8" w:color="auto"/>
            </w:tcBorders>
            <w:shd w:val="clear" w:color="auto" w:fill="F3F3F3"/>
          </w:tcPr>
          <w:p>
            <w:pPr>
              <w:spacing w:after="0"/>
              <w:rPr>
                <w:sz w:val="19"/>
                <w:szCs w:val="19"/>
                <w:color w:val="auto"/>
              </w:rPr>
            </w:pPr>
          </w:p>
        </w:tc>
        <w:tc>
          <w:tcPr>
            <w:tcW w:w="11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1,063</w:t>
            </w:r>
          </w:p>
        </w:tc>
        <w:tc>
          <w:tcPr>
            <w:tcW w:w="80" w:type="dxa"/>
            <w:vAlign w:val="bottom"/>
            <w:shd w:val="clear" w:color="auto" w:fill="F3F3F3"/>
          </w:tcPr>
          <w:p>
            <w:pPr>
              <w:spacing w:after="0"/>
              <w:rPr>
                <w:sz w:val="19"/>
                <w:szCs w:val="19"/>
                <w:color w:val="auto"/>
              </w:rPr>
            </w:pPr>
          </w:p>
        </w:tc>
        <w:tc>
          <w:tcPr>
            <w:tcW w:w="160" w:type="dxa"/>
            <w:vAlign w:val="bottom"/>
            <w:tcBorders>
              <w:bottom w:val="single" w:sz="8" w:color="auto"/>
            </w:tcBorders>
            <w:shd w:val="clear" w:color="auto" w:fill="F3F3F3"/>
          </w:tcPr>
          <w:p>
            <w:pPr>
              <w:spacing w:after="0"/>
              <w:rPr>
                <w:sz w:val="19"/>
                <w:szCs w:val="19"/>
                <w:color w:val="auto"/>
              </w:rPr>
            </w:pPr>
          </w:p>
        </w:tc>
        <w:tc>
          <w:tcPr>
            <w:tcW w:w="12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5,695</w:t>
            </w:r>
          </w:p>
        </w:tc>
        <w:tc>
          <w:tcPr>
            <w:tcW w:w="100" w:type="dxa"/>
            <w:vAlign w:val="bottom"/>
            <w:shd w:val="clear" w:color="auto" w:fill="F3F3F3"/>
          </w:tcPr>
          <w:p>
            <w:pPr>
              <w:spacing w:after="0"/>
              <w:rPr>
                <w:sz w:val="19"/>
                <w:szCs w:val="19"/>
                <w:color w:val="auto"/>
              </w:rPr>
            </w:pPr>
          </w:p>
        </w:tc>
        <w:tc>
          <w:tcPr>
            <w:tcW w:w="220" w:type="dxa"/>
            <w:vAlign w:val="bottom"/>
            <w:tcBorders>
              <w:bottom w:val="single" w:sz="8" w:color="auto"/>
            </w:tcBorders>
            <w:shd w:val="clear" w:color="auto" w:fill="F3F3F3"/>
          </w:tcPr>
          <w:p>
            <w:pPr>
              <w:spacing w:after="0"/>
              <w:rPr>
                <w:sz w:val="19"/>
                <w:szCs w:val="19"/>
                <w:color w:val="auto"/>
              </w:rPr>
            </w:pPr>
          </w:p>
        </w:tc>
        <w:tc>
          <w:tcPr>
            <w:tcW w:w="11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236,400</w:t>
            </w:r>
          </w:p>
        </w:tc>
      </w:tr>
      <w:tr>
        <w:trPr>
          <w:trHeight w:val="223"/>
        </w:trPr>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9,885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8,745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592,518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8,096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591,529</w:t>
            </w:r>
          </w:p>
        </w:tc>
      </w:tr>
      <w:tr>
        <w:trPr>
          <w:trHeight w:val="20"/>
        </w:trPr>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77"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Derivative assets are included within financial instruments and other inventory positions owned on the consolidated statements of financial condition.</w:t>
      </w:r>
    </w:p>
    <w:p>
      <w:pPr>
        <w:spacing w:after="0" w:line="57" w:lineRule="exact"/>
        <w:rPr>
          <w:rFonts w:ascii="Arial" w:cs="Arial" w:eastAsia="Arial" w:hAnsi="Arial"/>
          <w:sz w:val="15"/>
          <w:szCs w:val="15"/>
          <w:i w:val="1"/>
          <w:iCs w:val="1"/>
          <w:color w:val="auto"/>
        </w:rPr>
      </w:pPr>
    </w:p>
    <w:p>
      <w:pPr>
        <w:ind w:left="340" w:hanging="332"/>
        <w:spacing w:after="0" w:line="301" w:lineRule="auto"/>
        <w:tabs>
          <w:tab w:leader="none" w:pos="338" w:val="left"/>
        </w:tabs>
        <w:numPr>
          <w:ilvl w:val="0"/>
          <w:numId w:val="10"/>
        </w:numPr>
        <w:rPr>
          <w:rFonts w:ascii="Arial" w:cs="Arial" w:eastAsia="Arial" w:hAnsi="Arial"/>
          <w:sz w:val="15"/>
          <w:szCs w:val="15"/>
          <w:i w:val="1"/>
          <w:iCs w:val="1"/>
          <w:color w:val="auto"/>
        </w:rPr>
      </w:pPr>
      <w:r>
        <w:rPr>
          <w:rFonts w:ascii="Arial" w:cs="Arial" w:eastAsia="Arial" w:hAnsi="Arial"/>
          <w:sz w:val="15"/>
          <w:szCs w:val="15"/>
          <w:i w:val="1"/>
          <w:iCs w:val="1"/>
          <w:color w:val="auto"/>
        </w:rPr>
        <w:t>Derivative liabilities are included within financial instruments and other inventory positions sold, but not yet purchased on the consolidated statements of financial condition.</w:t>
      </w:r>
    </w:p>
    <w:p>
      <w:pPr>
        <w:spacing w:after="0" w:line="22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Company's derivative contracts do not qualify for hedge accounting; therefore, unrealized gains and losses are recorded on the consolidated statements of operations. The gains and losses on the related economically hedged inventory positions are not disclosed below as they are not in qualifying hedging relationships. The following table presents the Company's unrealized gains/(losses) on derivative instruments:</w:t>
      </w:r>
    </w:p>
    <w:p>
      <w:pPr>
        <w:spacing w:after="0" w:line="87"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Three Months Ended</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980" w:type="dxa"/>
            <w:vAlign w:val="bottom"/>
            <w:gridSpan w:val="2"/>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3"/>
        </w:trPr>
        <w:tc>
          <w:tcPr>
            <w:tcW w:w="3980" w:type="dxa"/>
            <w:vAlign w:val="bottom"/>
            <w:gridSpan w:val="2"/>
          </w:tcPr>
          <w:p>
            <w:pPr>
              <w:ind w:left="20"/>
              <w:spacing w:after="0"/>
              <w:rPr>
                <w:sz w:val="20"/>
                <w:szCs w:val="20"/>
                <w:color w:val="auto"/>
              </w:rPr>
            </w:pPr>
            <w:r>
              <w:rPr>
                <w:rFonts w:ascii="Arial" w:cs="Arial" w:eastAsia="Arial" w:hAnsi="Arial"/>
                <w:sz w:val="17"/>
                <w:szCs w:val="17"/>
                <w:b w:val="1"/>
                <w:bCs w:val="1"/>
                <w:color w:val="auto"/>
              </w:rPr>
              <w:t>Derivative Category</w:t>
            </w:r>
          </w:p>
        </w:tc>
        <w:tc>
          <w:tcPr>
            <w:tcW w:w="3980" w:type="dxa"/>
            <w:vAlign w:val="bottom"/>
            <w:gridSpan w:val="2"/>
          </w:tcPr>
          <w:p>
            <w:pPr>
              <w:ind w:left="20"/>
              <w:spacing w:after="0"/>
              <w:rPr>
                <w:sz w:val="20"/>
                <w:szCs w:val="20"/>
                <w:color w:val="auto"/>
              </w:rPr>
            </w:pPr>
            <w:r>
              <w:rPr>
                <w:rFonts w:ascii="Arial" w:cs="Arial" w:eastAsia="Arial" w:hAnsi="Arial"/>
                <w:sz w:val="17"/>
                <w:szCs w:val="17"/>
                <w:b w:val="1"/>
                <w:bCs w:val="1"/>
                <w:color w:val="auto"/>
              </w:rPr>
              <w:t>Operations Category</w:t>
            </w:r>
          </w:p>
        </w:tc>
        <w:tc>
          <w:tcPr>
            <w:tcW w:w="360" w:type="dxa"/>
            <w:vAlign w:val="bottom"/>
          </w:tcPr>
          <w:p>
            <w:pPr>
              <w:spacing w:after="0"/>
              <w:rPr>
                <w:sz w:val="19"/>
                <w:szCs w:val="19"/>
                <w:color w:val="auto"/>
              </w:rPr>
            </w:pPr>
          </w:p>
        </w:tc>
        <w:tc>
          <w:tcPr>
            <w:tcW w:w="1240" w:type="dxa"/>
            <w:vAlign w:val="bottom"/>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ind w:right="515"/>
              <w:spacing w:after="0"/>
              <w:rPr>
                <w:sz w:val="20"/>
                <w:szCs w:val="20"/>
                <w:color w:val="auto"/>
              </w:rPr>
            </w:pPr>
            <w:r>
              <w:rPr>
                <w:rFonts w:ascii="Arial" w:cs="Arial" w:eastAsia="Arial" w:hAnsi="Arial"/>
                <w:sz w:val="17"/>
                <w:szCs w:val="17"/>
                <w:b w:val="1"/>
                <w:bCs w:val="1"/>
                <w:color w:val="auto"/>
              </w:rPr>
              <w:t>2025</w:t>
            </w:r>
          </w:p>
        </w:tc>
      </w:tr>
      <w:tr>
        <w:trPr>
          <w:trHeight w:val="223"/>
        </w:trPr>
        <w:tc>
          <w:tcPr>
            <w:tcW w:w="3880" w:type="dxa"/>
            <w:vAlign w:val="bottom"/>
            <w:tcBorders>
              <w:top w:val="single" w:sz="8" w:color="auto"/>
            </w:tcBorders>
            <w:shd w:val="clear" w:color="auto" w:fill="F3F3F3"/>
          </w:tcPr>
          <w:p>
            <w:pPr>
              <w:ind w:left="20"/>
              <w:spacing w:after="0"/>
              <w:rPr>
                <w:sz w:val="20"/>
                <w:szCs w:val="20"/>
                <w:color w:val="auto"/>
              </w:rPr>
            </w:pPr>
            <w:r>
              <w:rPr>
                <w:rFonts w:ascii="Arial" w:cs="Arial" w:eastAsia="Arial" w:hAnsi="Arial"/>
                <w:sz w:val="17"/>
                <w:szCs w:val="17"/>
                <w:color w:val="auto"/>
              </w:rPr>
              <w:t>Interest rate derivative contract</w:t>
            </w:r>
          </w:p>
        </w:tc>
        <w:tc>
          <w:tcPr>
            <w:tcW w:w="100" w:type="dxa"/>
            <w:vAlign w:val="bottom"/>
            <w:tcBorders>
              <w:top w:val="single" w:sz="8" w:color="F3F3F3"/>
            </w:tcBorders>
            <w:shd w:val="clear" w:color="auto" w:fill="F3F3F3"/>
          </w:tcPr>
          <w:p>
            <w:pPr>
              <w:spacing w:after="0"/>
              <w:rPr>
                <w:sz w:val="19"/>
                <w:szCs w:val="19"/>
                <w:color w:val="auto"/>
              </w:rPr>
            </w:pPr>
          </w:p>
        </w:tc>
        <w:tc>
          <w:tcPr>
            <w:tcW w:w="3880" w:type="dxa"/>
            <w:vAlign w:val="bottom"/>
            <w:tcBorders>
              <w:top w:val="single" w:sz="8" w:color="auto"/>
            </w:tcBorders>
            <w:shd w:val="clear" w:color="auto" w:fill="F3F3F3"/>
          </w:tcPr>
          <w:p>
            <w:pPr>
              <w:ind w:left="20"/>
              <w:spacing w:after="0"/>
              <w:rPr>
                <w:sz w:val="20"/>
                <w:szCs w:val="20"/>
                <w:color w:val="auto"/>
              </w:rPr>
            </w:pPr>
            <w:r>
              <w:rPr>
                <w:rFonts w:ascii="Arial" w:cs="Arial" w:eastAsia="Arial" w:hAnsi="Arial"/>
                <w:sz w:val="17"/>
                <w:szCs w:val="17"/>
                <w:color w:val="auto"/>
              </w:rPr>
              <w:t>Investment banking</w:t>
            </w:r>
          </w:p>
        </w:tc>
        <w:tc>
          <w:tcPr>
            <w:tcW w:w="100" w:type="dxa"/>
            <w:vAlign w:val="bottom"/>
            <w:tcBorders>
              <w:top w:val="single" w:sz="8" w:color="F3F3F3"/>
            </w:tcBorders>
            <w:shd w:val="clear" w:color="auto" w:fill="F3F3F3"/>
          </w:tcPr>
          <w:p>
            <w:pPr>
              <w:spacing w:after="0"/>
              <w:rPr>
                <w:sz w:val="19"/>
                <w:szCs w:val="19"/>
                <w:color w:val="auto"/>
              </w:rPr>
            </w:pPr>
          </w:p>
        </w:tc>
        <w:tc>
          <w:tcPr>
            <w:tcW w:w="360" w:type="dxa"/>
            <w:vAlign w:val="bottom"/>
            <w:tcBorders>
              <w:top w:val="single" w:sz="8" w:color="auto"/>
            </w:tcBorders>
            <w:shd w:val="clear" w:color="auto" w:fill="F3F3F3"/>
          </w:tcPr>
          <w:p>
            <w:pPr>
              <w:jc w:val="right"/>
              <w:ind w:right="155"/>
              <w:spacing w:after="0"/>
              <w:rPr>
                <w:sz w:val="20"/>
                <w:szCs w:val="20"/>
                <w:color w:val="auto"/>
              </w:rPr>
            </w:pPr>
            <w:r>
              <w:rPr>
                <w:rFonts w:ascii="Arial" w:cs="Arial" w:eastAsia="Arial" w:hAnsi="Arial"/>
                <w:sz w:val="17"/>
                <w:szCs w:val="17"/>
                <w:b w:val="1"/>
                <w:bCs w:val="1"/>
                <w:color w:val="auto"/>
              </w:rPr>
              <w:t>$</w:t>
            </w:r>
          </w:p>
        </w:tc>
        <w:tc>
          <w:tcPr>
            <w:tcW w:w="124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(42)</w:t>
            </w:r>
          </w:p>
        </w:tc>
        <w:tc>
          <w:tcPr>
            <w:tcW w:w="80" w:type="dxa"/>
            <w:vAlign w:val="bottom"/>
            <w:tcBorders>
              <w:top w:val="single" w:sz="8" w:color="F3F3F3"/>
            </w:tcBorders>
            <w:shd w:val="clear" w:color="auto" w:fill="F3F3F3"/>
          </w:tcPr>
          <w:p>
            <w:pPr>
              <w:spacing w:after="0"/>
              <w:rPr>
                <w:sz w:val="19"/>
                <w:szCs w:val="19"/>
                <w:color w:val="auto"/>
              </w:rPr>
            </w:pPr>
          </w:p>
        </w:tc>
        <w:tc>
          <w:tcPr>
            <w:tcW w:w="480" w:type="dxa"/>
            <w:vAlign w:val="bottom"/>
            <w:tcBorders>
              <w:top w:val="single" w:sz="8" w:color="auto"/>
            </w:tcBorders>
            <w:shd w:val="clear" w:color="auto" w:fill="F3F3F3"/>
          </w:tcPr>
          <w:p>
            <w:pPr>
              <w:jc w:val="right"/>
              <w:ind w:right="275"/>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3980" w:type="dxa"/>
            <w:vAlign w:val="bottom"/>
            <w:tcBorders>
              <w:bottom w:val="single" w:sz="8" w:color="F3F3F3"/>
            </w:tcBorders>
            <w:gridSpan w:val="2"/>
          </w:tcPr>
          <w:p>
            <w:pPr>
              <w:ind w:left="20"/>
              <w:spacing w:after="0"/>
              <w:rPr>
                <w:sz w:val="20"/>
                <w:szCs w:val="20"/>
                <w:color w:val="auto"/>
              </w:rPr>
            </w:pPr>
            <w:r>
              <w:rPr>
                <w:rFonts w:ascii="Arial" w:cs="Arial" w:eastAsia="Arial" w:hAnsi="Arial"/>
                <w:sz w:val="17"/>
                <w:szCs w:val="17"/>
                <w:color w:val="auto"/>
              </w:rPr>
              <w:t>Interest rate derivative contract</w:t>
            </w:r>
          </w:p>
        </w:tc>
        <w:tc>
          <w:tcPr>
            <w:tcW w:w="3980" w:type="dxa"/>
            <w:vAlign w:val="bottom"/>
            <w:tcBorders>
              <w:bottom w:val="single" w:sz="8" w:color="F3F3F3"/>
            </w:tcBorders>
            <w:gridSpan w:val="2"/>
          </w:tcPr>
          <w:p>
            <w:pPr>
              <w:ind w:left="20"/>
              <w:spacing w:after="0"/>
              <w:rPr>
                <w:sz w:val="20"/>
                <w:szCs w:val="20"/>
                <w:color w:val="auto"/>
              </w:rPr>
            </w:pPr>
            <w:r>
              <w:rPr>
                <w:rFonts w:ascii="Arial" w:cs="Arial" w:eastAsia="Arial" w:hAnsi="Arial"/>
                <w:sz w:val="17"/>
                <w:szCs w:val="17"/>
                <w:color w:val="auto"/>
              </w:rPr>
              <w:t>Institutional brokerage</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3,344</w:t>
            </w:r>
          </w:p>
        </w:tc>
        <w:tc>
          <w:tcPr>
            <w:tcW w:w="8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1,244</w:t>
            </w:r>
          </w:p>
        </w:tc>
      </w:tr>
      <w:tr>
        <w:trPr>
          <w:trHeight w:val="248"/>
        </w:trPr>
        <w:tc>
          <w:tcPr>
            <w:tcW w:w="3880" w:type="dxa"/>
            <w:vAlign w:val="bottom"/>
            <w:tcBorders>
              <w:bottom w:val="single" w:sz="8" w:color="F3F3F3"/>
            </w:tcBorders>
            <w:shd w:val="clear" w:color="auto" w:fill="F3F3F3"/>
          </w:tcPr>
          <w:p>
            <w:pPr>
              <w:spacing w:after="0"/>
              <w:rPr>
                <w:sz w:val="21"/>
                <w:szCs w:val="21"/>
                <w:color w:val="auto"/>
              </w:rPr>
            </w:pPr>
          </w:p>
        </w:tc>
        <w:tc>
          <w:tcPr>
            <w:tcW w:w="100" w:type="dxa"/>
            <w:vAlign w:val="bottom"/>
            <w:tcBorders>
              <w:bottom w:val="single" w:sz="8" w:color="F3F3F3"/>
            </w:tcBorders>
            <w:shd w:val="clear" w:color="auto" w:fill="F3F3F3"/>
          </w:tcPr>
          <w:p>
            <w:pPr>
              <w:spacing w:after="0"/>
              <w:rPr>
                <w:sz w:val="21"/>
                <w:szCs w:val="21"/>
                <w:color w:val="auto"/>
              </w:rPr>
            </w:pPr>
          </w:p>
        </w:tc>
        <w:tc>
          <w:tcPr>
            <w:tcW w:w="3880" w:type="dxa"/>
            <w:vAlign w:val="bottom"/>
            <w:tcBorders>
              <w:bottom w:val="single" w:sz="8" w:color="F3F3F3"/>
            </w:tcBorders>
            <w:shd w:val="clear" w:color="auto" w:fill="F3F3F3"/>
          </w:tcPr>
          <w:p>
            <w:pPr>
              <w:spacing w:after="0"/>
              <w:rPr>
                <w:sz w:val="21"/>
                <w:szCs w:val="21"/>
                <w:color w:val="auto"/>
              </w:rPr>
            </w:pPr>
          </w:p>
        </w:tc>
        <w:tc>
          <w:tcPr>
            <w:tcW w:w="100" w:type="dxa"/>
            <w:vAlign w:val="bottom"/>
            <w:tcBorders>
              <w:bottom w:val="single" w:sz="8" w:color="F3F3F3"/>
            </w:tcBorders>
            <w:shd w:val="clear" w:color="auto" w:fill="F3F3F3"/>
          </w:tcPr>
          <w:p>
            <w:pPr>
              <w:spacing w:after="0"/>
              <w:rPr>
                <w:sz w:val="21"/>
                <w:szCs w:val="21"/>
                <w:color w:val="auto"/>
              </w:rPr>
            </w:pPr>
          </w:p>
        </w:tc>
        <w:tc>
          <w:tcPr>
            <w:tcW w:w="360" w:type="dxa"/>
            <w:vAlign w:val="bottom"/>
            <w:tcBorders>
              <w:bottom w:val="single" w:sz="8" w:color="auto"/>
            </w:tcBorders>
            <w:shd w:val="clear" w:color="auto" w:fill="F3F3F3"/>
          </w:tcPr>
          <w:p>
            <w:pPr>
              <w:jc w:val="right"/>
              <w:ind w:right="155"/>
              <w:spacing w:after="0"/>
              <w:rPr>
                <w:sz w:val="20"/>
                <w:szCs w:val="20"/>
                <w:color w:val="auto"/>
              </w:rPr>
            </w:pPr>
            <w:r>
              <w:rPr>
                <w:rFonts w:ascii="Arial" w:cs="Arial" w:eastAsia="Arial" w:hAnsi="Arial"/>
                <w:sz w:val="17"/>
                <w:szCs w:val="17"/>
                <w:b w:val="1"/>
                <w:bCs w:val="1"/>
                <w:color w:val="auto"/>
              </w:rPr>
              <w:t>$</w:t>
            </w: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3,302</w:t>
            </w:r>
          </w:p>
        </w:tc>
        <w:tc>
          <w:tcPr>
            <w:tcW w:w="8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jc w:val="right"/>
              <w:ind w:right="27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1,244</w:t>
            </w:r>
          </w:p>
        </w:tc>
      </w:tr>
      <w:tr>
        <w:trPr>
          <w:trHeight w:val="20"/>
        </w:trPr>
        <w:tc>
          <w:tcPr>
            <w:tcW w:w="3880" w:type="dxa"/>
            <w:vAlign w:val="bottom"/>
            <w:tcBorders>
              <w:top w:val="single" w:sz="8" w:color="F3F3F3"/>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3880" w:type="dxa"/>
            <w:vAlign w:val="bottom"/>
            <w:tcBorders>
              <w:top w:val="single" w:sz="8" w:color="F3F3F3"/>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8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Credit risk associated with the Company's derivatives is the risk that a derivative counterparty will not perform in accordance with the terms of the applicable derivative contract. Credit exposure associated with the Company's derivatives is driven by uncollateralized market movements in the fair value of the contracts with counterparties and is monitored regularly by the Company's financial risk committee. The Company considers counterparty credit risk in determining derivative contract fair value. The Company's derivative contracts are generally collateralized by its counterparties, who are major financial institutions. As of March 31, 2026, the Company had $4.4 million of uncollateralized credit exposure with three counterparties (notional contract amount of $72.4 million), including $3.9 million of uncollateralized credit exposure with one counterparty.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INVESTMENTS</w:t>
      </w:r>
    </w:p>
    <w:p>
      <w:pPr>
        <w:spacing w:after="0" w:line="22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Arial" w:cs="Arial" w:eastAsia="Arial" w:hAnsi="Arial"/>
                <w:sz w:val="17"/>
                <w:szCs w:val="17"/>
                <w:b w:val="1"/>
                <w:bCs w:val="1"/>
                <w:color w:val="auto"/>
              </w:rPr>
              <w:t>December 31,</w:t>
            </w:r>
          </w:p>
        </w:tc>
      </w:tr>
      <w:tr>
        <w:trPr>
          <w:trHeight w:val="236"/>
        </w:trPr>
        <w:tc>
          <w:tcPr>
            <w:tcW w:w="790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2025</w:t>
            </w:r>
          </w:p>
        </w:tc>
      </w:tr>
      <w:tr>
        <w:trPr>
          <w:trHeight w:val="225"/>
        </w:trPr>
        <w:tc>
          <w:tcPr>
            <w:tcW w:w="7900" w:type="dxa"/>
            <w:vAlign w:val="bottom"/>
            <w:shd w:val="clear" w:color="auto" w:fill="F3F3F3"/>
          </w:tcPr>
          <w:p>
            <w:pPr>
              <w:ind w:left="20"/>
              <w:spacing w:after="0"/>
              <w:rPr>
                <w:sz w:val="20"/>
                <w:szCs w:val="20"/>
                <w:color w:val="auto"/>
              </w:rPr>
            </w:pPr>
            <w:r>
              <w:rPr>
                <w:rFonts w:ascii="Arial" w:cs="Arial" w:eastAsia="Arial" w:hAnsi="Arial"/>
                <w:sz w:val="17"/>
                <w:szCs w:val="17"/>
                <w:color w:val="auto"/>
              </w:rPr>
              <w:t>Investments at fair value</w:t>
            </w:r>
          </w:p>
        </w:tc>
        <w:tc>
          <w:tcPr>
            <w:tcW w:w="260" w:type="dxa"/>
            <w:vAlign w:val="bottom"/>
            <w:shd w:val="clear" w:color="auto" w:fill="F3F3F3"/>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293,241</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305,473</w:t>
            </w:r>
          </w:p>
        </w:tc>
      </w:tr>
      <w:tr>
        <w:trPr>
          <w:trHeight w:val="230"/>
        </w:trPr>
        <w:tc>
          <w:tcPr>
            <w:tcW w:w="7900" w:type="dxa"/>
            <w:vAlign w:val="bottom"/>
            <w:tcBorders>
              <w:bottom w:val="single" w:sz="8" w:color="F3F3F3"/>
            </w:tcBorders>
          </w:tcPr>
          <w:p>
            <w:pPr>
              <w:ind w:left="20"/>
              <w:spacing w:after="0"/>
              <w:rPr>
                <w:sz w:val="20"/>
                <w:szCs w:val="20"/>
                <w:color w:val="auto"/>
              </w:rPr>
            </w:pPr>
            <w:r>
              <w:rPr>
                <w:rFonts w:ascii="Arial" w:cs="Arial" w:eastAsia="Arial" w:hAnsi="Arial"/>
                <w:sz w:val="17"/>
                <w:szCs w:val="17"/>
                <w:color w:val="auto"/>
              </w:rPr>
              <w:t>Investments accounted for under the equity method</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17,841</w:t>
            </w:r>
          </w:p>
        </w:tc>
        <w:tc>
          <w:tcPr>
            <w:tcW w:w="100" w:type="dxa"/>
            <w:vAlign w:val="bottom"/>
            <w:tcBorders>
              <w:bottom w:val="single" w:sz="8" w:color="F3F3F3"/>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17,045</w:t>
            </w:r>
          </w:p>
        </w:tc>
      </w:tr>
      <w:tr>
        <w:trPr>
          <w:trHeight w:val="223"/>
        </w:trPr>
        <w:tc>
          <w:tcPr>
            <w:tcW w:w="790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Total investments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311,082</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322,518</w:t>
            </w:r>
          </w:p>
        </w:tc>
      </w:tr>
      <w:tr>
        <w:trPr>
          <w:trHeight w:val="230"/>
        </w:trPr>
        <w:tc>
          <w:tcPr>
            <w:tcW w:w="7900" w:type="dxa"/>
            <w:vAlign w:val="bottom"/>
            <w:tcBorders>
              <w:bottom w:val="single" w:sz="8" w:color="F3F3F3"/>
            </w:tcBorders>
          </w:tcPr>
          <w:p>
            <w:pPr>
              <w:ind w:left="120"/>
              <w:spacing w:after="0"/>
              <w:rPr>
                <w:sz w:val="20"/>
                <w:szCs w:val="20"/>
                <w:color w:val="auto"/>
              </w:rPr>
            </w:pPr>
            <w:r>
              <w:rPr>
                <w:rFonts w:ascii="Arial" w:cs="Arial" w:eastAsia="Arial" w:hAnsi="Arial"/>
                <w:sz w:val="17"/>
                <w:szCs w:val="17"/>
                <w:color w:val="auto"/>
              </w:rPr>
              <w:t>Less: Investments attributable to noncontrolling interests (1)</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(205,069)</w:t>
            </w:r>
          </w:p>
        </w:tc>
        <w:tc>
          <w:tcPr>
            <w:tcW w:w="100" w:type="dxa"/>
            <w:vAlign w:val="bottom"/>
            <w:tcBorders>
              <w:bottom w:val="single" w:sz="8" w:color="F3F3F3"/>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(216,838)</w:t>
            </w:r>
          </w:p>
        </w:tc>
      </w:tr>
      <w:tr>
        <w:trPr>
          <w:trHeight w:val="248"/>
        </w:trPr>
        <w:tc>
          <w:tcPr>
            <w:tcW w:w="790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Total investments attributable to Piper Sandler Companies</w:t>
            </w:r>
          </w:p>
        </w:tc>
        <w:tc>
          <w:tcPr>
            <w:tcW w:w="260" w:type="dxa"/>
            <w:vAlign w:val="bottom"/>
            <w:tcBorders>
              <w:bottom w:val="single" w:sz="8" w:color="auto"/>
            </w:tcBorders>
            <w:shd w:val="clear" w:color="auto" w:fill="F3F3F3"/>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106,013</w:t>
            </w:r>
          </w:p>
        </w:tc>
        <w:tc>
          <w:tcPr>
            <w:tcW w:w="100" w:type="dxa"/>
            <w:vAlign w:val="bottom"/>
            <w:tcBorders>
              <w:bottom w:val="single" w:sz="8" w:color="F3F3F3"/>
            </w:tcBorders>
            <w:shd w:val="clear" w:color="auto" w:fill="F3F3F3"/>
          </w:tcPr>
          <w:p>
            <w:pPr>
              <w:spacing w:after="0"/>
              <w:rPr>
                <w:sz w:val="21"/>
                <w:szCs w:val="21"/>
                <w:color w:val="auto"/>
              </w:rPr>
            </w:pPr>
          </w:p>
        </w:tc>
        <w:tc>
          <w:tcPr>
            <w:tcW w:w="1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105,680</w:t>
            </w:r>
          </w:p>
        </w:tc>
      </w:tr>
      <w:tr>
        <w:trPr>
          <w:trHeight w:val="20"/>
        </w:trPr>
        <w:tc>
          <w:tcPr>
            <w:tcW w:w="7900" w:type="dxa"/>
            <w:vAlign w:val="bottom"/>
            <w:tcBorders>
              <w:top w:val="single" w:sz="8" w:color="F3F3F3"/>
            </w:tcBorders>
          </w:tcPr>
          <w:p>
            <w:pPr>
              <w:spacing w:after="0" w:line="20" w:lineRule="exact"/>
              <w:rPr>
                <w:sz w:val="1"/>
                <w:szCs w:val="1"/>
                <w:color w:val="auto"/>
              </w:rPr>
            </w:pPr>
          </w:p>
        </w:tc>
        <w:tc>
          <w:tcPr>
            <w:tcW w:w="260" w:type="dxa"/>
            <w:vAlign w:val="bottom"/>
            <w:tcBorders>
              <w:top w:val="single" w:sz="8" w:color="F3F3F3"/>
              <w:bottom w:val="single" w:sz="8" w:color="auto"/>
            </w:tcBorders>
          </w:tcPr>
          <w:p>
            <w:pPr>
              <w:spacing w:after="0" w:line="20" w:lineRule="exact"/>
              <w:rPr>
                <w:sz w:val="1"/>
                <w:szCs w:val="1"/>
                <w:color w:val="auto"/>
              </w:rPr>
            </w:pPr>
          </w:p>
        </w:tc>
        <w:tc>
          <w:tcPr>
            <w:tcW w:w="13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80" w:type="dxa"/>
            <w:vAlign w:val="bottom"/>
            <w:tcBorders>
              <w:top w:val="single" w:sz="8" w:color="F3F3F3"/>
              <w:bottom w:val="single" w:sz="8" w:color="auto"/>
            </w:tcBorders>
          </w:tcPr>
          <w:p>
            <w:pPr>
              <w:spacing w:after="0" w:line="20" w:lineRule="exact"/>
              <w:rPr>
                <w:sz w:val="1"/>
                <w:szCs w:val="1"/>
                <w:color w:val="auto"/>
              </w:rPr>
            </w:pPr>
          </w:p>
        </w:tc>
        <w:tc>
          <w:tcPr>
            <w:tcW w:w="1420" w:type="dxa"/>
            <w:vAlign w:val="bottom"/>
            <w:tcBorders>
              <w:top w:val="single" w:sz="8" w:color="F3F3F3"/>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i w:val="1"/>
          <w:iCs w:val="1"/>
          <w:color w:val="auto"/>
        </w:rPr>
        <w:t>(1)</w:t>
        <w:tab/>
        <w:t>Noncontrolling interests are attributable to unrelated third-party ownership in consolidated alternative asset management funds.</w:t>
      </w:r>
    </w:p>
    <w:p>
      <w:pPr>
        <w:spacing w:after="0" w:line="25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Investments at fair value include equity investments in private companies and mutual funds related to deferred compensation plans. See Note 6 for additional information on the Company's investments at fair value.</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Investments accounted for under the equity method include general and limited partnership interests. The carrying value of these investments is based on the investment vehicle's net asset value. The net assets of investment partnerships consist of investments in both marketable and non-marketable securities. The underlying investments held by such partnerships are valued based on the estimated fair value determined by management in the Company's capacity as general partner or investor and, in the case of investments in unaffiliated investment partnerships, are based on financial statements prepared by the unaffiliated general partners.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VARIABLE INTEREST ENTITIES ("VIEs")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investments in and/or acts as the managing partner of various partnerships and limited liability companies. These entities were established for the purpose of investing in securities of public or private companies, and were initially financed through the capital commitments or seed investments of the members.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VIEs are entities in which equity investors lack the characteristics of a controlling financial interest or do not have sufficient equity at risk for the entity to finance its activities. The determination as to whether an entity is a VIE is based on the structure and nature of each entity. The Company also considers other characteristics such as the power through voting rights or similar rights to direct the activities of an entity that most significantly impact the entity's economic performance and how the entity is financed.</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is required to consolidate all VIEs for which it is considered to be the primary beneficiary. The determination as to whether the Company is considered to be the primary beneficiary is based on whether the Company has both the power to direct the activities of the VIE that most significantly impact the entity's economic performance and the obligation to absorb losses or the right to receive benefits of the VIE that could potentially be significant to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Company's consolidated VIEs include certain alternative asset management funds in which the Company has an investment and, as the managing partner, is deemed to have both the power to direct the most significant activities of the funds and the right to receive benefits (or the obligation to absorb losses) that could potentially be significant to these funds. The following table presents information about the carrying value of the assets and liabilities of the alternative asset management funds that are consolidated by the Company and included on the consolidated statements of financial condition. The assets can only be used to settle the liabilities of the respective fund, and the creditors of the funds do not have recourse to the general credit of the Company. The alternative asset management funds have a combined $56.0 million of bank line financing available with interest rates based on SOFR plus an applicable margin. The assets and liabilities are presented prior to consolidation, and thus a portion of these assets and liabilities is eliminated in consolidation.</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Arial" w:cs="Arial" w:eastAsia="Arial" w:hAnsi="Arial"/>
                <w:sz w:val="17"/>
                <w:szCs w:val="17"/>
                <w:b w:val="1"/>
                <w:bCs w:val="1"/>
                <w:color w:val="auto"/>
              </w:rPr>
              <w:t>December 31,</w:t>
            </w:r>
          </w:p>
        </w:tc>
      </w:tr>
      <w:tr>
        <w:trPr>
          <w:trHeight w:val="236"/>
        </w:trPr>
        <w:tc>
          <w:tcPr>
            <w:tcW w:w="790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2025</w:t>
            </w:r>
          </w:p>
        </w:tc>
      </w:tr>
      <w:tr>
        <w:trPr>
          <w:trHeight w:val="211"/>
        </w:trPr>
        <w:tc>
          <w:tcPr>
            <w:tcW w:w="790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Assets</w:t>
            </w:r>
          </w:p>
        </w:tc>
        <w:tc>
          <w:tcPr>
            <w:tcW w:w="260" w:type="dxa"/>
            <w:vAlign w:val="bottom"/>
            <w:shd w:val="clear" w:color="auto" w:fill="F3F3F3"/>
          </w:tcPr>
          <w:p>
            <w:pPr>
              <w:spacing w:after="0"/>
              <w:rPr>
                <w:sz w:val="18"/>
                <w:szCs w:val="18"/>
                <w:color w:val="auto"/>
              </w:rPr>
            </w:pPr>
          </w:p>
        </w:tc>
        <w:tc>
          <w:tcPr>
            <w:tcW w:w="13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180" w:type="dxa"/>
            <w:vAlign w:val="bottom"/>
            <w:shd w:val="clear" w:color="auto" w:fill="F3F3F3"/>
          </w:tcPr>
          <w:p>
            <w:pPr>
              <w:spacing w:after="0"/>
              <w:rPr>
                <w:sz w:val="18"/>
                <w:szCs w:val="18"/>
                <w:color w:val="auto"/>
              </w:rPr>
            </w:pPr>
          </w:p>
        </w:tc>
        <w:tc>
          <w:tcPr>
            <w:tcW w:w="1420" w:type="dxa"/>
            <w:vAlign w:val="bottom"/>
            <w:shd w:val="clear" w:color="auto" w:fill="F3F3F3"/>
          </w:tcPr>
          <w:p>
            <w:pPr>
              <w:spacing w:after="0"/>
              <w:rPr>
                <w:sz w:val="18"/>
                <w:szCs w:val="18"/>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7"/>
                <w:szCs w:val="17"/>
                <w:color w:val="auto"/>
              </w:rPr>
              <w:t>Cash and cash equivalents</w:t>
            </w:r>
          </w:p>
        </w:tc>
        <w:tc>
          <w:tcPr>
            <w:tcW w:w="26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9,300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249</w:t>
            </w:r>
          </w:p>
        </w:tc>
      </w:tr>
      <w:tr>
        <w:trPr>
          <w:trHeight w:val="230"/>
        </w:trPr>
        <w:tc>
          <w:tcPr>
            <w:tcW w:w="7900" w:type="dxa"/>
            <w:vAlign w:val="bottom"/>
            <w:shd w:val="clear" w:color="auto" w:fill="F3F3F3"/>
          </w:tcPr>
          <w:p>
            <w:pPr>
              <w:ind w:left="140"/>
              <w:spacing w:after="0"/>
              <w:rPr>
                <w:sz w:val="20"/>
                <w:szCs w:val="20"/>
                <w:color w:val="auto"/>
              </w:rPr>
            </w:pPr>
            <w:r>
              <w:rPr>
                <w:rFonts w:ascii="Arial" w:cs="Arial" w:eastAsia="Arial" w:hAnsi="Arial"/>
                <w:sz w:val="17"/>
                <w:szCs w:val="17"/>
                <w:color w:val="auto"/>
              </w:rPr>
              <w:t>Receivables from brokers, dealers and clearing organizations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4,858</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7900" w:type="dxa"/>
            <w:vAlign w:val="bottom"/>
          </w:tcPr>
          <w:p>
            <w:pPr>
              <w:ind w:left="120"/>
              <w:spacing w:after="0"/>
              <w:rPr>
                <w:sz w:val="20"/>
                <w:szCs w:val="20"/>
                <w:color w:val="auto"/>
              </w:rPr>
            </w:pPr>
            <w:r>
              <w:rPr>
                <w:rFonts w:ascii="Arial" w:cs="Arial" w:eastAsia="Arial" w:hAnsi="Arial"/>
                <w:sz w:val="17"/>
                <w:szCs w:val="17"/>
                <w:color w:val="auto"/>
              </w:rPr>
              <w:t>Investments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252,833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268,121</w:t>
            </w:r>
          </w:p>
        </w:tc>
      </w:tr>
      <w:tr>
        <w:trPr>
          <w:trHeight w:val="229"/>
        </w:trPr>
        <w:tc>
          <w:tcPr>
            <w:tcW w:w="7900" w:type="dxa"/>
            <w:vAlign w:val="bottom"/>
            <w:shd w:val="clear" w:color="auto" w:fill="F3F3F3"/>
          </w:tcPr>
          <w:p>
            <w:pPr>
              <w:ind w:left="120"/>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400</w:t>
            </w:r>
          </w:p>
        </w:tc>
        <w:tc>
          <w:tcPr>
            <w:tcW w:w="10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spacing w:after="0"/>
              <w:rPr>
                <w:sz w:val="19"/>
                <w:szCs w:val="19"/>
                <w:color w:val="auto"/>
              </w:rPr>
            </w:pP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844</w:t>
            </w:r>
          </w:p>
        </w:tc>
      </w:tr>
      <w:tr>
        <w:trPr>
          <w:trHeight w:val="223"/>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Total assets</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267,391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269,214</w:t>
            </w:r>
          </w:p>
        </w:tc>
      </w:tr>
      <w:tr>
        <w:trPr>
          <w:trHeight w:val="20"/>
        </w:trPr>
        <w:tc>
          <w:tcPr>
            <w:tcW w:w="7900" w:type="dxa"/>
            <w:vAlign w:val="bottom"/>
            <w:tcBorders>
              <w:bottom w:val="single" w:sz="8" w:color="F3F3F3"/>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3F3F3"/>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790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spacing w:after="0"/>
              <w:rPr>
                <w:sz w:val="19"/>
                <w:szCs w:val="19"/>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Liabilities</w:t>
            </w:r>
          </w:p>
        </w:tc>
        <w:tc>
          <w:tcPr>
            <w:tcW w:w="2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900" w:type="dxa"/>
            <w:vAlign w:val="bottom"/>
            <w:shd w:val="clear" w:color="auto" w:fill="F3F3F3"/>
          </w:tcPr>
          <w:p>
            <w:pPr>
              <w:ind w:left="120"/>
              <w:spacing w:after="0"/>
              <w:rPr>
                <w:sz w:val="20"/>
                <w:szCs w:val="20"/>
                <w:color w:val="auto"/>
              </w:rPr>
            </w:pPr>
            <w:r>
              <w:rPr>
                <w:rFonts w:ascii="Arial" w:cs="Arial" w:eastAsia="Arial" w:hAnsi="Arial"/>
                <w:sz w:val="17"/>
                <w:szCs w:val="17"/>
                <w:color w:val="auto"/>
              </w:rPr>
              <w:t>Other liabilities and accrued expenses</w:t>
            </w:r>
          </w:p>
        </w:tc>
        <w:tc>
          <w:tcPr>
            <w:tcW w:w="260" w:type="dxa"/>
            <w:vAlign w:val="bottom"/>
            <w:tcBorders>
              <w:bottom w:val="single" w:sz="8" w:color="auto"/>
            </w:tcBorders>
            <w:shd w:val="clear" w:color="auto" w:fill="F3F3F3"/>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2,425</w:t>
            </w:r>
          </w:p>
        </w:tc>
        <w:tc>
          <w:tcPr>
            <w:tcW w:w="10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7,990</w:t>
            </w:r>
          </w:p>
        </w:tc>
      </w:tr>
      <w:tr>
        <w:trPr>
          <w:trHeight w:val="223"/>
        </w:trPr>
        <w:tc>
          <w:tcPr>
            <w:tcW w:w="7900" w:type="dxa"/>
            <w:vAlign w:val="bottom"/>
          </w:tcPr>
          <w:p>
            <w:pPr>
              <w:ind w:left="20"/>
              <w:spacing w:after="0"/>
              <w:rPr>
                <w:sz w:val="20"/>
                <w:szCs w:val="20"/>
                <w:color w:val="auto"/>
              </w:rPr>
            </w:pPr>
            <w:r>
              <w:rPr>
                <w:rFonts w:ascii="Arial" w:cs="Arial" w:eastAsia="Arial" w:hAnsi="Arial"/>
                <w:sz w:val="17"/>
                <w:szCs w:val="17"/>
                <w:b w:val="1"/>
                <w:bCs w:val="1"/>
                <w:color w:val="auto"/>
              </w:rPr>
              <w:t>Total liabilities</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2,425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7,990</w:t>
            </w:r>
          </w:p>
        </w:tc>
      </w:tr>
      <w:tr>
        <w:trPr>
          <w:trHeight w:val="21"/>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has investments in a grantor trust which was established as part of a nonqualified deferred compensation plan. The Company is the primary beneficiary of the grantor trust. Accordingly, the assets and liabilities of the grantor trust are consolidated by the Company on the consolidated statements of financial condition. See Note 15 for additional information on the Company's nonqualified deferred compensation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Nonconsolidated VIEs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determined it is not the primary beneficiary of certain VIEs and, accordingly, does not consolidate them. These VIEs had net assets approximating $796.9 million and $777.0 million at March 31, 2026 and December 31, 2025, respectively. The Company's exposure to loss from these VIEs is $17.8 million, which is the carrying value of its capital contributions recorded in investments on the consolidated statements of financial condition at March 31, 2026. The Company had no liabilities related to these VIEs at March 31, 2026 and December 31, 2025. Furthermore, the Company has not provided financial or other support to these VIEs that it was not previously contractually required to provide as of March 31, 2026.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10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OTHER ASSETS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9"/>
                <w:szCs w:val="19"/>
                <w:color w:val="auto"/>
              </w:rPr>
            </w:pPr>
          </w:p>
        </w:tc>
        <w:tc>
          <w:tcPr>
            <w:tcW w:w="1420" w:type="dxa"/>
            <w:vAlign w:val="bottom"/>
          </w:tcPr>
          <w:p>
            <w:pPr>
              <w:jc w:val="right"/>
              <w:ind w:right="155"/>
              <w:spacing w:after="0"/>
              <w:rPr>
                <w:sz w:val="20"/>
                <w:szCs w:val="20"/>
                <w:color w:val="auto"/>
              </w:rPr>
            </w:pPr>
            <w:r>
              <w:rPr>
                <w:rFonts w:ascii="Arial" w:cs="Arial" w:eastAsia="Arial" w:hAnsi="Arial"/>
                <w:sz w:val="17"/>
                <w:szCs w:val="17"/>
                <w:b w:val="1"/>
                <w:bCs w:val="1"/>
                <w:color w:val="auto"/>
              </w:rPr>
              <w:t>December 31,</w:t>
            </w:r>
          </w:p>
        </w:tc>
      </w:tr>
      <w:tr>
        <w:trPr>
          <w:trHeight w:val="236"/>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r>
      <w:tr>
        <w:trPr>
          <w:trHeight w:val="225"/>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color w:val="auto"/>
              </w:rPr>
              <w:t>Installment fee receivables</w:t>
            </w:r>
          </w:p>
        </w:tc>
        <w:tc>
          <w:tcPr>
            <w:tcW w:w="260" w:type="dxa"/>
            <w:vAlign w:val="bottom"/>
            <w:shd w:val="clear" w:color="auto" w:fill="F3F3F3"/>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35,442</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39,736</w:t>
            </w:r>
          </w:p>
        </w:tc>
      </w:tr>
      <w:tr>
        <w:trPr>
          <w:trHeight w:val="229"/>
        </w:trPr>
        <w:tc>
          <w:tcPr>
            <w:tcW w:w="7940" w:type="dxa"/>
            <w:vAlign w:val="bottom"/>
          </w:tcPr>
          <w:p>
            <w:pPr>
              <w:ind w:left="20"/>
              <w:spacing w:after="0"/>
              <w:rPr>
                <w:sz w:val="20"/>
                <w:szCs w:val="20"/>
                <w:color w:val="auto"/>
              </w:rPr>
            </w:pPr>
            <w:r>
              <w:rPr>
                <w:rFonts w:ascii="Arial" w:cs="Arial" w:eastAsia="Arial" w:hAnsi="Arial"/>
                <w:sz w:val="17"/>
                <w:szCs w:val="17"/>
                <w:color w:val="auto"/>
              </w:rPr>
              <w:t>Fee receivables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50,898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48,129</w:t>
            </w:r>
          </w:p>
        </w:tc>
      </w:tr>
      <w:tr>
        <w:trPr>
          <w:trHeight w:val="22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color w:val="auto"/>
              </w:rPr>
              <w:t>Forgivable employee loans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67,148</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60,437</w:t>
            </w: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color w:val="auto"/>
              </w:rPr>
              <w:t>Prepaid expenses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19,684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27,657</w:t>
            </w:r>
          </w:p>
        </w:tc>
      </w:tr>
      <w:tr>
        <w:trPr>
          <w:trHeight w:val="22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color w:val="auto"/>
              </w:rPr>
              <w:t>Other</w:t>
            </w:r>
          </w:p>
        </w:tc>
        <w:tc>
          <w:tcPr>
            <w:tcW w:w="26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13,606</w:t>
            </w:r>
          </w:p>
        </w:tc>
        <w:tc>
          <w:tcPr>
            <w:tcW w:w="10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spacing w:after="0"/>
              <w:rPr>
                <w:sz w:val="19"/>
                <w:szCs w:val="19"/>
                <w:color w:val="auto"/>
              </w:rPr>
            </w:pPr>
          </w:p>
        </w:tc>
        <w:tc>
          <w:tcPr>
            <w:tcW w:w="14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12,559</w:t>
            </w:r>
          </w:p>
        </w:tc>
      </w:tr>
      <w:tr>
        <w:trPr>
          <w:trHeight w:val="223"/>
        </w:trPr>
        <w:tc>
          <w:tcPr>
            <w:tcW w:w="7940" w:type="dxa"/>
            <w:vAlign w:val="bottom"/>
          </w:tcPr>
          <w:p>
            <w:pPr>
              <w:ind w:left="20"/>
              <w:spacing w:after="0"/>
              <w:rPr>
                <w:sz w:val="20"/>
                <w:szCs w:val="20"/>
                <w:color w:val="auto"/>
              </w:rPr>
            </w:pPr>
            <w:r>
              <w:rPr>
                <w:rFonts w:ascii="Arial" w:cs="Arial" w:eastAsia="Arial" w:hAnsi="Arial"/>
                <w:sz w:val="17"/>
                <w:szCs w:val="17"/>
                <w:b w:val="1"/>
                <w:bCs w:val="1"/>
                <w:color w:val="auto"/>
              </w:rPr>
              <w:t>Total other assets</w:t>
            </w: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186,778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188,518</w:t>
            </w:r>
          </w:p>
        </w:tc>
      </w:tr>
      <w:tr>
        <w:trPr>
          <w:trHeight w:val="20"/>
        </w:trPr>
        <w:tc>
          <w:tcPr>
            <w:tcW w:w="7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installment fee receivables and forgivable employee loans are carried at amortized cost, which approximates fair value, and would be categorized as Level II assets in the fair value hierarchy if they were carried at fair value.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allowance for credit losses was immaterial at March 31, 2026 and December 31, 2025.</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11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SHORT-TERM FINANCING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Unsecured Revolving Credit Facility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an unsecured $120 million revolving credit facility with U.S. Bank N.A. The credit agreement will terminate on December 20, 2028, unless otherwise terminated. The interest rate is variable and based on either the federal funds rate or prime rate plus an applicable margin. This credit facility includes customary events of default and covenants that, among other things, require the Company's U.S. broker dealer subsidiary to maintain a minimum regulatory net capital of $120 million, limit the Company's leverage ratio, require maintenance of a minimum ratio of operating cash flow to fixed charges, and impose certain limitations on the Company's ability to make acquisitions and make payments on its capital stock. At March 31, 2026 and December 31, 2025, there were $10.0 million of advances against this credit facility, with a weighted average interest rate of 5.64 percent.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Secured Revolving Credit Facility</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has a $30 million revolving credit facility with Huntington Bancshares Incorporated. Advances under this facility are secured by certain installment fee receivables. The credit agreement will terminate on August 23, 2027, unless otherwise terminated. The interest rate is variable and based on either the federal funds rate, prime rate, or SOFR plus an applicable margin. This credit facility includes customary events of default and covenants that, among other things, require the Company's U.S. broker dealer subsidiary to maintain a minimum regulatory net capital of $120 million, limit the Company's leverage ratio, require maintenance of a minimum fixed charge coverage ratio, and impose certain limitations on the Company's ability to make acquisitions and make payments on its capital stock. At March 31, 2026, there were $5.0 million of advances against this credit facility, with a weighted average interest rate of 5.65 percent. At December 31, 2025, there were $5.0 million advances against this credit facility, with a weighted average interest rate of 5.69 percent.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12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LEGAL CONTINGENCIES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has been named as a defendant in various legal actions, including complaints and litigation and arbitration claims, arising from its business activities. Such actions include claims related to securities brokerage and investment banking activities, and certain class actions that primarily allege violations of securities laws and seek unspecified damages, which could be substantial. Also, the Company is involved from time to time in investigations and proceedings by governmental agencies and self-regulatory organizations ("SROs") which could result in adverse judgments, settlements, penalties, fines or other relief.</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 accrues for potential losses resulting from pending and potential legal actions, investigations and regulatory proceedings when such losses are probable and reasonably estimable. In many cases, however, it is inherently difficult to determine whether any loss is probable or even possible or to estimate the amount or range of any potential loss, particularly where proceedings may be in relatively early stages or where plaintiffs are seeking substantial or indeterminate damages. Matters frequently need to develop before a probability of loss can be determined or range of loss can reasonably be estimated. Given uncertainties regarding the timing, scope, volume and outcome of pending and potential legal actions, investigations and regulatory proceedings and other factors, the amounts of accruals and ranges of reasonably possible losses are difficult to determine and of necessity subject to future revision. Subject to the foregoing, management of the Company believes, based on currently available information, after consultation with outside legal counsel and taking into account any prior accruals, that pending legal actions, investigations and regulatory proceedings will be resolved with no material adverse effect on the financial condition, results of operations or cash flows of the Company, except as described in the next paragraph.</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 civil action was filed against financial institutions, including Piper Sandler and Piper Sandler Financial Products Inc., in California state court alleging the defendants artificially inflated interest rates set for variable rate demand notes. Variable rate demand notes are municipal bonds with interest rates that reset on a periodic basis. As of March 31, 2026, the Company has accrued $9.7 million for a settlement in principle for this litigation (subject to negotiation of the settlement agreement and court approval).</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If during any period a potential adverse contingency becomes probable or is resolved for an amount in excess of the established accrual, the results of operations and cash flows in that period and the financial condition as of the end of that period could be materially adversely affected. In addition, there can be no assurance that material losses will not be incurred from claims that have not yet been brought to the Company's attention or are not yet determined to be reasonably possible. Reasonably possible losses in excess of amounts accrued at March 31, 2026 are not material.</w:t>
      </w:r>
    </w:p>
    <w:p>
      <w:pPr>
        <w:spacing w:after="0" w:line="206"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Litigation-related accrual activity included within other operating expenses was $8.5 million for the three months ended March 31, 2026 and was immaterial for the three months ended March 31, 2025.</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SHAREHOLDERS' EQUITY</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Company's amended and restated certificate of incorporation provides for the issuance of up to 400,000,000 shares of common stock with a par value of $0.01 per share and up to 5,000,000 shares of undesignated preferred stock with a par value of $0.01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9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Company's current dividend policy is intended to return a metric based on fiscal year net income to its shareholders. The Company's board of directors determines the declaration and payment of dividends and is free to change the Company's dividend policy at any time.</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three months ended March 31, 2026, the Company declared and paid a quarterly cash dividend on its common stock of $0.175 per share, and a special cash dividend on its common stock of $1.25 per share. The special cash dividend related to the Company's fiscal year 2025 results. Total dividends paid, including accrued forfeitable dividends paid on restricted stock awards that vested, were $100.7 million for the three months ended March 31, 2026.</w:t>
      </w:r>
    </w:p>
    <w:p>
      <w:pPr>
        <w:spacing w:after="0" w:line="200"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On May 1, 2026, the board of directors declared a quarterly cash dividend on its common stock of $0.20 per share to be paid on June 12, 2026, to shareholders of record as of the close of business on May 29, 2026.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purchases shares of common stock pursuant to share repurchase program authorized by the Company's board of directors. The Company also purchases shares of common stock from restricted stock award recipients upon the award vesting as recipients sell shares to meet their employment tax obligations.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gridSpan w:val="8"/>
          </w:tcPr>
          <w:p>
            <w:pPr>
              <w:spacing w:after="0"/>
              <w:rPr>
                <w:sz w:val="20"/>
                <w:szCs w:val="20"/>
                <w:color w:val="auto"/>
              </w:rPr>
            </w:pPr>
            <w:r>
              <w:rPr>
                <w:rFonts w:ascii="Arial" w:cs="Arial" w:eastAsia="Arial" w:hAnsi="Arial"/>
                <w:sz w:val="17"/>
                <w:szCs w:val="17"/>
                <w:color w:val="auto"/>
              </w:rPr>
              <w:t>The following table summarizes the repurchase program authorized by the Company's board of directors:</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200" w:type="dxa"/>
            <w:vAlign w:val="bottom"/>
            <w:gridSpan w:val="3"/>
            <w:vMerge w:val="restart"/>
          </w:tcPr>
          <w:p>
            <w:pPr>
              <w:ind w:left="800"/>
              <w:spacing w:after="0"/>
              <w:rPr>
                <w:sz w:val="20"/>
                <w:szCs w:val="20"/>
                <w:color w:val="auto"/>
              </w:rPr>
            </w:pPr>
            <w:r>
              <w:rPr>
                <w:rFonts w:ascii="Arial" w:cs="Arial" w:eastAsia="Arial" w:hAnsi="Arial"/>
                <w:sz w:val="17"/>
                <w:szCs w:val="17"/>
                <w:b w:val="1"/>
                <w:bCs w:val="1"/>
                <w:color w:val="auto"/>
              </w:rPr>
              <w:t>Effective Date</w:t>
            </w:r>
          </w:p>
        </w:tc>
        <w:tc>
          <w:tcPr>
            <w:tcW w:w="3020" w:type="dxa"/>
            <w:vAlign w:val="bottom"/>
            <w:gridSpan w:val="3"/>
            <w:vMerge w:val="restart"/>
          </w:tcPr>
          <w:p>
            <w:pPr>
              <w:jc w:val="center"/>
              <w:ind w:right="1040"/>
              <w:spacing w:after="0"/>
              <w:rPr>
                <w:sz w:val="20"/>
                <w:szCs w:val="20"/>
                <w:color w:val="auto"/>
              </w:rPr>
            </w:pPr>
            <w:r>
              <w:rPr>
                <w:rFonts w:ascii="Arial" w:cs="Arial" w:eastAsia="Arial" w:hAnsi="Arial"/>
                <w:sz w:val="17"/>
                <w:szCs w:val="17"/>
                <w:b w:val="1"/>
                <w:bCs w:val="1"/>
                <w:color w:val="auto"/>
              </w:rPr>
              <w:t>Authorized Amount</w:t>
            </w:r>
          </w:p>
        </w:tc>
        <w:tc>
          <w:tcPr>
            <w:tcW w:w="1740" w:type="dxa"/>
            <w:vAlign w:val="bottom"/>
            <w:gridSpan w:val="2"/>
            <w:vMerge w:val="restart"/>
          </w:tcPr>
          <w:p>
            <w:pPr>
              <w:jc w:val="center"/>
              <w:ind w:right="140"/>
              <w:spacing w:after="0"/>
              <w:rPr>
                <w:sz w:val="20"/>
                <w:szCs w:val="20"/>
                <w:color w:val="auto"/>
              </w:rPr>
            </w:pPr>
            <w:r>
              <w:rPr>
                <w:rFonts w:ascii="Arial" w:cs="Arial" w:eastAsia="Arial" w:hAnsi="Arial"/>
                <w:sz w:val="17"/>
                <w:szCs w:val="17"/>
                <w:b w:val="1"/>
                <w:bCs w:val="1"/>
                <w:color w:val="auto"/>
                <w:w w:val="99"/>
              </w:rPr>
              <w:t>Expiration Date</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gridSpan w:val="4"/>
          </w:tcPr>
          <w:p>
            <w:pPr>
              <w:jc w:val="center"/>
              <w:spacing w:after="0" w:line="194" w:lineRule="exact"/>
              <w:rPr>
                <w:sz w:val="20"/>
                <w:szCs w:val="20"/>
                <w:color w:val="auto"/>
              </w:rPr>
            </w:pPr>
            <w:r>
              <w:rPr>
                <w:rFonts w:ascii="Arial" w:cs="Arial" w:eastAsia="Arial" w:hAnsi="Arial"/>
                <w:sz w:val="17"/>
                <w:szCs w:val="17"/>
                <w:b w:val="1"/>
                <w:bCs w:val="1"/>
                <w:color w:val="auto"/>
              </w:rPr>
              <w:t>Remaining Authorization at</w:t>
            </w:r>
          </w:p>
        </w:tc>
        <w:tc>
          <w:tcPr>
            <w:tcW w:w="0" w:type="dxa"/>
            <w:vAlign w:val="bottom"/>
          </w:tcPr>
          <w:p>
            <w:pPr>
              <w:spacing w:after="0"/>
              <w:rPr>
                <w:sz w:val="1"/>
                <w:szCs w:val="1"/>
                <w:color w:val="auto"/>
              </w:rPr>
            </w:pPr>
          </w:p>
        </w:tc>
      </w:tr>
      <w:tr>
        <w:trPr>
          <w:trHeight w:val="225"/>
        </w:trPr>
        <w:tc>
          <w:tcPr>
            <w:tcW w:w="3200" w:type="dxa"/>
            <w:vAlign w:val="bottom"/>
            <w:gridSpan w:val="3"/>
            <w:vMerge w:val="continue"/>
          </w:tcPr>
          <w:p>
            <w:pPr>
              <w:spacing w:after="0"/>
              <w:rPr>
                <w:sz w:val="19"/>
                <w:szCs w:val="19"/>
                <w:color w:val="auto"/>
              </w:rPr>
            </w:pPr>
          </w:p>
        </w:tc>
        <w:tc>
          <w:tcPr>
            <w:tcW w:w="3020" w:type="dxa"/>
            <w:vAlign w:val="bottom"/>
            <w:gridSpan w:val="3"/>
            <w:vMerge w:val="continue"/>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60" w:type="dxa"/>
            <w:vAlign w:val="bottom"/>
            <w:gridSpan w:val="4"/>
          </w:tcPr>
          <w:p>
            <w:pPr>
              <w:jc w:val="center"/>
              <w:spacing w:after="0"/>
              <w:rPr>
                <w:sz w:val="20"/>
                <w:szCs w:val="20"/>
                <w:color w:val="auto"/>
              </w:rPr>
            </w:pPr>
            <w:r>
              <w:rPr>
                <w:rFonts w:ascii="Arial" w:cs="Arial" w:eastAsia="Arial" w:hAnsi="Arial"/>
                <w:sz w:val="17"/>
                <w:szCs w:val="17"/>
                <w:b w:val="1"/>
                <w:bCs w:val="1"/>
                <w:color w:val="auto"/>
              </w:rPr>
              <w:t>March 31, 2026</w:t>
            </w:r>
          </w:p>
        </w:tc>
        <w:tc>
          <w:tcPr>
            <w:tcW w:w="0" w:type="dxa"/>
            <w:vAlign w:val="bottom"/>
          </w:tcPr>
          <w:p>
            <w:pPr>
              <w:spacing w:after="0"/>
              <w:rPr>
                <w:sz w:val="1"/>
                <w:szCs w:val="1"/>
                <w:color w:val="auto"/>
              </w:rPr>
            </w:pPr>
          </w:p>
        </w:tc>
      </w:tr>
      <w:tr>
        <w:trPr>
          <w:trHeight w:val="223"/>
        </w:trPr>
        <w:tc>
          <w:tcPr>
            <w:tcW w:w="2720" w:type="dxa"/>
            <w:vAlign w:val="bottom"/>
            <w:tcBorders>
              <w:top w:val="single" w:sz="8" w:color="auto"/>
            </w:tcBorders>
            <w:shd w:val="clear" w:color="auto" w:fill="F3F3F3"/>
          </w:tcPr>
          <w:p>
            <w:pPr>
              <w:ind w:left="720"/>
              <w:spacing w:after="0"/>
              <w:rPr>
                <w:sz w:val="20"/>
                <w:szCs w:val="20"/>
                <w:color w:val="auto"/>
              </w:rPr>
            </w:pPr>
            <w:r>
              <w:rPr>
                <w:rFonts w:ascii="Arial" w:cs="Arial" w:eastAsia="Arial" w:hAnsi="Arial"/>
                <w:sz w:val="17"/>
                <w:szCs w:val="17"/>
                <w:color w:val="auto"/>
              </w:rPr>
              <w:t>February 5, 2025</w:t>
            </w:r>
          </w:p>
        </w:tc>
        <w:tc>
          <w:tcPr>
            <w:tcW w:w="100" w:type="dxa"/>
            <w:vAlign w:val="bottom"/>
            <w:tcBorders>
              <w:top w:val="single" w:sz="8" w:color="F3F3F3"/>
            </w:tcBorders>
            <w:shd w:val="clear" w:color="auto" w:fill="F3F3F3"/>
          </w:tcPr>
          <w:p>
            <w:pPr>
              <w:spacing w:after="0"/>
              <w:rPr>
                <w:sz w:val="19"/>
                <w:szCs w:val="19"/>
                <w:color w:val="auto"/>
              </w:rPr>
            </w:pPr>
          </w:p>
        </w:tc>
        <w:tc>
          <w:tcPr>
            <w:tcW w:w="380" w:type="dxa"/>
            <w:vAlign w:val="bottom"/>
            <w:tcBorders>
              <w:top w:val="single" w:sz="8" w:color="auto"/>
            </w:tcBorders>
            <w:shd w:val="clear" w:color="auto" w:fill="F3F3F3"/>
          </w:tcPr>
          <w:p>
            <w:pPr>
              <w:spacing w:after="0"/>
              <w:rPr>
                <w:sz w:val="19"/>
                <w:szCs w:val="19"/>
                <w:color w:val="auto"/>
              </w:rPr>
            </w:pPr>
          </w:p>
        </w:tc>
        <w:tc>
          <w:tcPr>
            <w:tcW w:w="2360" w:type="dxa"/>
            <w:vAlign w:val="bottom"/>
            <w:tcBorders>
              <w:top w:val="single" w:sz="8" w:color="auto"/>
            </w:tcBorders>
            <w:shd w:val="clear" w:color="auto" w:fill="F3F3F3"/>
          </w:tcPr>
          <w:p>
            <w:pPr>
              <w:jc w:val="center"/>
              <w:ind w:right="295"/>
              <w:spacing w:after="0"/>
              <w:rPr>
                <w:sz w:val="20"/>
                <w:szCs w:val="20"/>
                <w:color w:val="auto"/>
              </w:rPr>
            </w:pPr>
            <w:r>
              <w:rPr>
                <w:rFonts w:ascii="Arial" w:cs="Arial" w:eastAsia="Arial" w:hAnsi="Arial"/>
                <w:sz w:val="17"/>
                <w:szCs w:val="17"/>
                <w:color w:val="auto"/>
              </w:rPr>
              <w:t>$150.0 million</w:t>
            </w:r>
          </w:p>
        </w:tc>
        <w:tc>
          <w:tcPr>
            <w:tcW w:w="100" w:type="dxa"/>
            <w:vAlign w:val="bottom"/>
            <w:tcBorders>
              <w:top w:val="single" w:sz="8" w:color="F3F3F3"/>
            </w:tcBorders>
            <w:shd w:val="clear" w:color="auto" w:fill="F3F3F3"/>
          </w:tcPr>
          <w:p>
            <w:pPr>
              <w:spacing w:after="0"/>
              <w:rPr>
                <w:sz w:val="19"/>
                <w:szCs w:val="19"/>
                <w:color w:val="auto"/>
              </w:rPr>
            </w:pPr>
          </w:p>
        </w:tc>
        <w:tc>
          <w:tcPr>
            <w:tcW w:w="560" w:type="dxa"/>
            <w:vAlign w:val="bottom"/>
            <w:tcBorders>
              <w:top w:val="single" w:sz="8" w:color="auto"/>
            </w:tcBorders>
            <w:shd w:val="clear" w:color="auto" w:fill="F3F3F3"/>
          </w:tcPr>
          <w:p>
            <w:pPr>
              <w:spacing w:after="0"/>
              <w:rPr>
                <w:sz w:val="19"/>
                <w:szCs w:val="19"/>
                <w:color w:val="auto"/>
              </w:rPr>
            </w:pPr>
          </w:p>
        </w:tc>
        <w:tc>
          <w:tcPr>
            <w:tcW w:w="1740" w:type="dxa"/>
            <w:vAlign w:val="bottom"/>
            <w:tcBorders>
              <w:top w:val="single" w:sz="8" w:color="auto"/>
            </w:tcBorders>
            <w:gridSpan w:val="2"/>
            <w:shd w:val="clear" w:color="auto" w:fill="F3F3F3"/>
          </w:tcPr>
          <w:p>
            <w:pPr>
              <w:jc w:val="center"/>
              <w:ind w:right="120"/>
              <w:spacing w:after="0"/>
              <w:rPr>
                <w:sz w:val="20"/>
                <w:szCs w:val="20"/>
                <w:color w:val="auto"/>
              </w:rPr>
            </w:pPr>
            <w:r>
              <w:rPr>
                <w:rFonts w:ascii="Arial" w:cs="Arial" w:eastAsia="Arial" w:hAnsi="Arial"/>
                <w:sz w:val="17"/>
                <w:szCs w:val="17"/>
                <w:color w:val="auto"/>
              </w:rPr>
              <w:t>December 31, 2026</w:t>
            </w:r>
          </w:p>
        </w:tc>
        <w:tc>
          <w:tcPr>
            <w:tcW w:w="440" w:type="dxa"/>
            <w:vAlign w:val="bottom"/>
            <w:tcBorders>
              <w:top w:val="single" w:sz="8" w:color="auto"/>
            </w:tcBorders>
            <w:shd w:val="clear" w:color="auto" w:fill="F3F3F3"/>
          </w:tcPr>
          <w:p>
            <w:pPr>
              <w:spacing w:after="0"/>
              <w:rPr>
                <w:sz w:val="19"/>
                <w:szCs w:val="19"/>
                <w:color w:val="auto"/>
              </w:rPr>
            </w:pPr>
          </w:p>
        </w:tc>
        <w:tc>
          <w:tcPr>
            <w:tcW w:w="80" w:type="dxa"/>
            <w:vAlign w:val="bottom"/>
            <w:tcBorders>
              <w:top w:val="single" w:sz="8" w:color="F3F3F3"/>
            </w:tcBorders>
            <w:shd w:val="clear" w:color="auto" w:fill="F3F3F3"/>
          </w:tcPr>
          <w:p>
            <w:pPr>
              <w:spacing w:after="0"/>
              <w:rPr>
                <w:sz w:val="19"/>
                <w:szCs w:val="19"/>
                <w:color w:val="auto"/>
              </w:rPr>
            </w:pPr>
          </w:p>
        </w:tc>
        <w:tc>
          <w:tcPr>
            <w:tcW w:w="2760" w:type="dxa"/>
            <w:vAlign w:val="bottom"/>
            <w:tcBorders>
              <w:top w:val="single" w:sz="8" w:color="auto"/>
            </w:tcBorders>
            <w:gridSpan w:val="4"/>
            <w:shd w:val="clear" w:color="auto" w:fill="F3F3F3"/>
          </w:tcPr>
          <w:p>
            <w:pPr>
              <w:jc w:val="center"/>
              <w:spacing w:after="0"/>
              <w:rPr>
                <w:sz w:val="20"/>
                <w:szCs w:val="20"/>
                <w:color w:val="auto"/>
              </w:rPr>
            </w:pPr>
            <w:r>
              <w:rPr>
                <w:rFonts w:ascii="Arial" w:cs="Arial" w:eastAsia="Arial" w:hAnsi="Arial"/>
                <w:sz w:val="17"/>
                <w:szCs w:val="17"/>
                <w:color w:val="auto"/>
              </w:rPr>
              <w:t>$88.5 million</w:t>
            </w:r>
          </w:p>
        </w:tc>
        <w:tc>
          <w:tcPr>
            <w:tcW w:w="0" w:type="dxa"/>
            <w:vAlign w:val="bottom"/>
          </w:tcPr>
          <w:p>
            <w:pPr>
              <w:spacing w:after="0"/>
              <w:rPr>
                <w:sz w:val="1"/>
                <w:szCs w:val="1"/>
                <w:color w:val="auto"/>
              </w:rPr>
            </w:pPr>
          </w:p>
        </w:tc>
      </w:tr>
      <w:tr>
        <w:trPr>
          <w:trHeight w:val="540"/>
        </w:trPr>
        <w:tc>
          <w:tcPr>
            <w:tcW w:w="6220" w:type="dxa"/>
            <w:vAlign w:val="bottom"/>
            <w:gridSpan w:val="6"/>
          </w:tcPr>
          <w:p>
            <w:pPr>
              <w:spacing w:after="0"/>
              <w:rPr>
                <w:sz w:val="20"/>
                <w:szCs w:val="20"/>
                <w:color w:val="auto"/>
              </w:rPr>
            </w:pPr>
            <w:r>
              <w:rPr>
                <w:rFonts w:ascii="Arial" w:cs="Arial" w:eastAsia="Arial" w:hAnsi="Arial"/>
                <w:sz w:val="17"/>
                <w:szCs w:val="17"/>
                <w:color w:val="auto"/>
              </w:rPr>
              <w:t>The following table summarizes the Company's share repurchase activity:</w:t>
            </w: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36"/>
        </w:trPr>
        <w:tc>
          <w:tcPr>
            <w:tcW w:w="2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720" w:type="dxa"/>
            <w:vAlign w:val="bottom"/>
            <w:tcBorders>
              <w:bottom w:val="single" w:sz="8" w:color="F3F3F3"/>
            </w:tcBorders>
          </w:tcPr>
          <w:p>
            <w:pPr>
              <w:spacing w:after="0"/>
              <w:rPr>
                <w:sz w:val="19"/>
                <w:szCs w:val="19"/>
                <w:color w:val="auto"/>
              </w:rPr>
            </w:pPr>
          </w:p>
        </w:tc>
        <w:tc>
          <w:tcPr>
            <w:tcW w:w="100" w:type="dxa"/>
            <w:vAlign w:val="bottom"/>
            <w:tcBorders>
              <w:bottom w:val="single" w:sz="8" w:color="F3F3F3"/>
            </w:tcBorders>
          </w:tcPr>
          <w:p>
            <w:pPr>
              <w:spacing w:after="0"/>
              <w:rPr>
                <w:sz w:val="19"/>
                <w:szCs w:val="19"/>
                <w:color w:val="auto"/>
              </w:rPr>
            </w:pPr>
          </w:p>
        </w:tc>
        <w:tc>
          <w:tcPr>
            <w:tcW w:w="380" w:type="dxa"/>
            <w:vAlign w:val="bottom"/>
            <w:tcBorders>
              <w:bottom w:val="single" w:sz="8" w:color="F3F3F3"/>
            </w:tcBorders>
          </w:tcPr>
          <w:p>
            <w:pPr>
              <w:spacing w:after="0"/>
              <w:rPr>
                <w:sz w:val="19"/>
                <w:szCs w:val="19"/>
                <w:color w:val="auto"/>
              </w:rPr>
            </w:pPr>
          </w:p>
        </w:tc>
        <w:tc>
          <w:tcPr>
            <w:tcW w:w="2360" w:type="dxa"/>
            <w:vAlign w:val="bottom"/>
            <w:tcBorders>
              <w:bottom w:val="single" w:sz="8" w:color="F3F3F3"/>
            </w:tcBorders>
          </w:tcPr>
          <w:p>
            <w:pPr>
              <w:spacing w:after="0"/>
              <w:rPr>
                <w:sz w:val="19"/>
                <w:szCs w:val="19"/>
                <w:color w:val="auto"/>
              </w:rPr>
            </w:pPr>
          </w:p>
        </w:tc>
        <w:tc>
          <w:tcPr>
            <w:tcW w:w="100" w:type="dxa"/>
            <w:vAlign w:val="bottom"/>
            <w:tcBorders>
              <w:bottom w:val="single" w:sz="8" w:color="F3F3F3"/>
            </w:tcBorders>
          </w:tcPr>
          <w:p>
            <w:pPr>
              <w:spacing w:after="0"/>
              <w:rPr>
                <w:sz w:val="19"/>
                <w:szCs w:val="19"/>
                <w:color w:val="auto"/>
              </w:rPr>
            </w:pPr>
          </w:p>
        </w:tc>
        <w:tc>
          <w:tcPr>
            <w:tcW w:w="560" w:type="dxa"/>
            <w:vAlign w:val="bottom"/>
            <w:tcBorders>
              <w:bottom w:val="single" w:sz="8" w:color="F3F3F3"/>
            </w:tcBorders>
          </w:tcPr>
          <w:p>
            <w:pPr>
              <w:spacing w:after="0"/>
              <w:rPr>
                <w:sz w:val="19"/>
                <w:szCs w:val="19"/>
                <w:color w:val="auto"/>
              </w:rPr>
            </w:pPr>
          </w:p>
        </w:tc>
        <w:tc>
          <w:tcPr>
            <w:tcW w:w="1720" w:type="dxa"/>
            <w:vAlign w:val="bottom"/>
            <w:tcBorders>
              <w:bottom w:val="single" w:sz="8" w:color="F3F3F3"/>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210"/>
        </w:trPr>
        <w:tc>
          <w:tcPr>
            <w:tcW w:w="6220" w:type="dxa"/>
            <w:vAlign w:val="bottom"/>
            <w:gridSpan w:val="6"/>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Shares repurchased pursuant to repurchase authorizations</w:t>
            </w:r>
          </w:p>
        </w:tc>
        <w:tc>
          <w:tcPr>
            <w:tcW w:w="1720" w:type="dxa"/>
            <w:vAlign w:val="bottom"/>
            <w:shd w:val="clear" w:color="auto" w:fill="F3F3F3"/>
          </w:tcPr>
          <w:p>
            <w:pPr>
              <w:spacing w:after="0"/>
              <w:rPr>
                <w:sz w:val="18"/>
                <w:szCs w:val="18"/>
                <w:color w:val="auto"/>
              </w:rPr>
            </w:pPr>
          </w:p>
        </w:tc>
        <w:tc>
          <w:tcPr>
            <w:tcW w:w="20" w:type="dxa"/>
            <w:vAlign w:val="bottom"/>
            <w:shd w:val="clear" w:color="auto" w:fill="F3F3F3"/>
          </w:tcPr>
          <w:p>
            <w:pPr>
              <w:spacing w:after="0"/>
              <w:rPr>
                <w:sz w:val="18"/>
                <w:szCs w:val="18"/>
                <w:color w:val="auto"/>
              </w:rPr>
            </w:pPr>
          </w:p>
        </w:tc>
        <w:tc>
          <w:tcPr>
            <w:tcW w:w="440" w:type="dxa"/>
            <w:vAlign w:val="bottom"/>
            <w:shd w:val="clear" w:color="auto" w:fill="F3F3F3"/>
          </w:tcPr>
          <w:p>
            <w:pPr>
              <w:spacing w:after="0"/>
              <w:rPr>
                <w:sz w:val="18"/>
                <w:szCs w:val="18"/>
                <w:color w:val="auto"/>
              </w:rPr>
            </w:pPr>
          </w:p>
        </w:tc>
        <w:tc>
          <w:tcPr>
            <w:tcW w:w="80" w:type="dxa"/>
            <w:vAlign w:val="bottom"/>
            <w:shd w:val="clear" w:color="auto" w:fill="F3F3F3"/>
          </w:tcPr>
          <w:p>
            <w:pPr>
              <w:spacing w:after="0"/>
              <w:rPr>
                <w:sz w:val="18"/>
                <w:szCs w:val="18"/>
                <w:color w:val="auto"/>
              </w:rPr>
            </w:pPr>
          </w:p>
        </w:tc>
        <w:tc>
          <w:tcPr>
            <w:tcW w:w="106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c>
          <w:tcPr>
            <w:tcW w:w="1120" w:type="dxa"/>
            <w:vAlign w:val="bottom"/>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0" w:type="dxa"/>
            <w:vAlign w:val="bottom"/>
            <w:gridSpan w:val="3"/>
          </w:tcPr>
          <w:p>
            <w:pPr>
              <w:ind w:left="140"/>
              <w:spacing w:after="0"/>
              <w:rPr>
                <w:sz w:val="20"/>
                <w:szCs w:val="20"/>
                <w:color w:val="auto"/>
              </w:rPr>
            </w:pPr>
            <w:r>
              <w:rPr>
                <w:rFonts w:ascii="Arial" w:cs="Arial" w:eastAsia="Arial" w:hAnsi="Arial"/>
                <w:sz w:val="17"/>
                <w:szCs w:val="17"/>
                <w:color w:val="auto"/>
              </w:rPr>
              <w:t>Common shares repurchased</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425,148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3200" w:type="dxa"/>
            <w:vAlign w:val="bottom"/>
            <w:gridSpan w:val="3"/>
            <w:shd w:val="clear" w:color="auto" w:fill="F3F3F3"/>
          </w:tcPr>
          <w:p>
            <w:pPr>
              <w:ind w:left="140"/>
              <w:spacing w:after="0"/>
              <w:rPr>
                <w:sz w:val="20"/>
                <w:szCs w:val="20"/>
                <w:color w:val="auto"/>
              </w:rPr>
            </w:pPr>
            <w:r>
              <w:rPr>
                <w:rFonts w:ascii="Arial" w:cs="Arial" w:eastAsia="Arial" w:hAnsi="Arial"/>
                <w:sz w:val="17"/>
                <w:szCs w:val="17"/>
                <w:color w:val="auto"/>
              </w:rPr>
              <w:t>Aggregate purchase price (in millions)</w:t>
            </w:r>
          </w:p>
        </w:tc>
        <w:tc>
          <w:tcPr>
            <w:tcW w:w="23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560" w:type="dxa"/>
            <w:vAlign w:val="bottom"/>
            <w:shd w:val="clear" w:color="auto" w:fill="F3F3F3"/>
          </w:tcPr>
          <w:p>
            <w:pPr>
              <w:spacing w:after="0"/>
              <w:rPr>
                <w:sz w:val="19"/>
                <w:szCs w:val="19"/>
                <w:color w:val="auto"/>
              </w:rPr>
            </w:pPr>
          </w:p>
        </w:tc>
        <w:tc>
          <w:tcPr>
            <w:tcW w:w="1720" w:type="dxa"/>
            <w:vAlign w:val="bottom"/>
            <w:shd w:val="clear" w:color="auto" w:fill="F3F3F3"/>
          </w:tcPr>
          <w:p>
            <w:pPr>
              <w:spacing w:after="0"/>
              <w:rPr>
                <w:sz w:val="19"/>
                <w:szCs w:val="19"/>
                <w:color w:val="auto"/>
              </w:rPr>
            </w:pPr>
          </w:p>
        </w:tc>
        <w:tc>
          <w:tcPr>
            <w:tcW w:w="20" w:type="dxa"/>
            <w:vAlign w:val="bottom"/>
            <w:shd w:val="clear" w:color="auto" w:fill="F3F3F3"/>
          </w:tcPr>
          <w:p>
            <w:pPr>
              <w:spacing w:after="0"/>
              <w:rPr>
                <w:sz w:val="19"/>
                <w:szCs w:val="19"/>
                <w:color w:val="auto"/>
              </w:rPr>
            </w:pPr>
          </w:p>
        </w:tc>
        <w:tc>
          <w:tcPr>
            <w:tcW w:w="440" w:type="dxa"/>
            <w:vAlign w:val="bottom"/>
            <w:shd w:val="clear" w:color="auto" w:fill="F3F3F3"/>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33.0</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3200" w:type="dxa"/>
            <w:vAlign w:val="bottom"/>
            <w:gridSpan w:val="3"/>
          </w:tcPr>
          <w:p>
            <w:pPr>
              <w:ind w:left="140"/>
              <w:spacing w:after="0"/>
              <w:rPr>
                <w:sz w:val="20"/>
                <w:szCs w:val="20"/>
                <w:color w:val="auto"/>
              </w:rPr>
            </w:pPr>
            <w:r>
              <w:rPr>
                <w:rFonts w:ascii="Arial" w:cs="Arial" w:eastAsia="Arial" w:hAnsi="Arial"/>
                <w:sz w:val="17"/>
                <w:szCs w:val="17"/>
                <w:color w:val="auto"/>
              </w:rPr>
              <w:t>Average price per share</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77.73</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7"/>
        </w:trPr>
        <w:tc>
          <w:tcPr>
            <w:tcW w:w="6220" w:type="dxa"/>
            <w:vAlign w:val="bottom"/>
            <w:gridSpan w:val="6"/>
            <w:shd w:val="clear" w:color="auto" w:fill="F3F3F3"/>
          </w:tcPr>
          <w:p>
            <w:pPr>
              <w:spacing w:after="0"/>
              <w:rPr>
                <w:sz w:val="22"/>
                <w:szCs w:val="22"/>
                <w:color w:val="auto"/>
              </w:rPr>
            </w:pPr>
          </w:p>
        </w:tc>
        <w:tc>
          <w:tcPr>
            <w:tcW w:w="1720" w:type="dxa"/>
            <w:vAlign w:val="bottom"/>
            <w:shd w:val="clear" w:color="auto" w:fill="F3F3F3"/>
          </w:tcPr>
          <w:p>
            <w:pPr>
              <w:spacing w:after="0"/>
              <w:rPr>
                <w:sz w:val="22"/>
                <w:szCs w:val="22"/>
                <w:color w:val="auto"/>
              </w:rPr>
            </w:pPr>
          </w:p>
        </w:tc>
        <w:tc>
          <w:tcPr>
            <w:tcW w:w="20" w:type="dxa"/>
            <w:vAlign w:val="bottom"/>
            <w:shd w:val="clear" w:color="auto" w:fill="F3F3F3"/>
          </w:tcPr>
          <w:p>
            <w:pPr>
              <w:spacing w:after="0"/>
              <w:rPr>
                <w:sz w:val="22"/>
                <w:szCs w:val="22"/>
                <w:color w:val="auto"/>
              </w:rPr>
            </w:pPr>
          </w:p>
        </w:tc>
        <w:tc>
          <w:tcPr>
            <w:tcW w:w="440" w:type="dxa"/>
            <w:vAlign w:val="bottom"/>
            <w:shd w:val="clear" w:color="auto" w:fill="F3F3F3"/>
          </w:tcPr>
          <w:p>
            <w:pPr>
              <w:spacing w:after="0"/>
              <w:rPr>
                <w:sz w:val="22"/>
                <w:szCs w:val="22"/>
                <w:color w:val="auto"/>
              </w:rPr>
            </w:pPr>
          </w:p>
        </w:tc>
        <w:tc>
          <w:tcPr>
            <w:tcW w:w="80" w:type="dxa"/>
            <w:vAlign w:val="bottom"/>
            <w:shd w:val="clear" w:color="auto" w:fill="F3F3F3"/>
          </w:tcPr>
          <w:p>
            <w:pPr>
              <w:spacing w:after="0"/>
              <w:rPr>
                <w:sz w:val="22"/>
                <w:szCs w:val="22"/>
                <w:color w:val="auto"/>
              </w:rPr>
            </w:pPr>
          </w:p>
        </w:tc>
        <w:tc>
          <w:tcPr>
            <w:tcW w:w="1060" w:type="dxa"/>
            <w:vAlign w:val="bottom"/>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480" w:type="dxa"/>
            <w:vAlign w:val="bottom"/>
            <w:shd w:val="clear" w:color="auto" w:fill="F3F3F3"/>
          </w:tcPr>
          <w:p>
            <w:pPr>
              <w:spacing w:after="0"/>
              <w:rPr>
                <w:sz w:val="22"/>
                <w:szCs w:val="22"/>
                <w:color w:val="auto"/>
              </w:rPr>
            </w:pPr>
          </w:p>
        </w:tc>
        <w:tc>
          <w:tcPr>
            <w:tcW w:w="1120" w:type="dxa"/>
            <w:vAlign w:val="bottom"/>
            <w:shd w:val="clear" w:color="auto" w:fill="F3F3F3"/>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220" w:type="dxa"/>
            <w:vAlign w:val="bottom"/>
            <w:gridSpan w:val="6"/>
          </w:tcPr>
          <w:p>
            <w:pPr>
              <w:ind w:left="20"/>
              <w:spacing w:after="0"/>
              <w:rPr>
                <w:sz w:val="20"/>
                <w:szCs w:val="20"/>
                <w:color w:val="auto"/>
              </w:rPr>
            </w:pPr>
            <w:r>
              <w:rPr>
                <w:rFonts w:ascii="Arial" w:cs="Arial" w:eastAsia="Arial" w:hAnsi="Arial"/>
                <w:sz w:val="17"/>
                <w:szCs w:val="17"/>
                <w:b w:val="1"/>
                <w:bCs w:val="1"/>
                <w:i w:val="1"/>
                <w:iCs w:val="1"/>
                <w:color w:val="auto"/>
              </w:rPr>
              <w:t>Shares repurchased from employees related to employment tax obligations</w:t>
            </w: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3"/>
            <w:shd w:val="clear" w:color="auto" w:fill="F3F3F3"/>
          </w:tcPr>
          <w:p>
            <w:pPr>
              <w:ind w:left="140"/>
              <w:spacing w:after="0"/>
              <w:rPr>
                <w:sz w:val="20"/>
                <w:szCs w:val="20"/>
                <w:color w:val="auto"/>
              </w:rPr>
            </w:pPr>
            <w:r>
              <w:rPr>
                <w:rFonts w:ascii="Arial" w:cs="Arial" w:eastAsia="Arial" w:hAnsi="Arial"/>
                <w:sz w:val="17"/>
                <w:szCs w:val="17"/>
                <w:color w:val="auto"/>
              </w:rPr>
              <w:t>Common shares repurchased</w:t>
            </w:r>
          </w:p>
        </w:tc>
        <w:tc>
          <w:tcPr>
            <w:tcW w:w="23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560" w:type="dxa"/>
            <w:vAlign w:val="bottom"/>
            <w:shd w:val="clear" w:color="auto" w:fill="F3F3F3"/>
          </w:tcPr>
          <w:p>
            <w:pPr>
              <w:spacing w:after="0"/>
              <w:rPr>
                <w:sz w:val="19"/>
                <w:szCs w:val="19"/>
                <w:color w:val="auto"/>
              </w:rPr>
            </w:pPr>
          </w:p>
        </w:tc>
        <w:tc>
          <w:tcPr>
            <w:tcW w:w="1720" w:type="dxa"/>
            <w:vAlign w:val="bottom"/>
            <w:shd w:val="clear" w:color="auto" w:fill="F3F3F3"/>
          </w:tcPr>
          <w:p>
            <w:pPr>
              <w:spacing w:after="0"/>
              <w:rPr>
                <w:sz w:val="19"/>
                <w:szCs w:val="19"/>
                <w:color w:val="auto"/>
              </w:rPr>
            </w:pPr>
          </w:p>
        </w:tc>
        <w:tc>
          <w:tcPr>
            <w:tcW w:w="20" w:type="dxa"/>
            <w:vAlign w:val="bottom"/>
            <w:shd w:val="clear" w:color="auto" w:fill="F3F3F3"/>
          </w:tcPr>
          <w:p>
            <w:pPr>
              <w:spacing w:after="0"/>
              <w:rPr>
                <w:sz w:val="19"/>
                <w:szCs w:val="19"/>
                <w:color w:val="auto"/>
              </w:rPr>
            </w:pPr>
          </w:p>
        </w:tc>
        <w:tc>
          <w:tcPr>
            <w:tcW w:w="440" w:type="dxa"/>
            <w:vAlign w:val="bottom"/>
            <w:shd w:val="clear" w:color="auto" w:fill="F3F3F3"/>
          </w:tcPr>
          <w:p>
            <w:pPr>
              <w:spacing w:after="0"/>
              <w:rPr>
                <w:sz w:val="19"/>
                <w:szCs w:val="19"/>
                <w:color w:val="auto"/>
              </w:rPr>
            </w:pPr>
          </w:p>
        </w:tc>
        <w:tc>
          <w:tcPr>
            <w:tcW w:w="8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458,656</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1,064,240</w:t>
            </w:r>
          </w:p>
        </w:tc>
        <w:tc>
          <w:tcPr>
            <w:tcW w:w="0" w:type="dxa"/>
            <w:vAlign w:val="bottom"/>
          </w:tcPr>
          <w:p>
            <w:pPr>
              <w:spacing w:after="0"/>
              <w:rPr>
                <w:sz w:val="1"/>
                <w:szCs w:val="1"/>
                <w:color w:val="auto"/>
              </w:rPr>
            </w:pPr>
          </w:p>
        </w:tc>
      </w:tr>
      <w:tr>
        <w:trPr>
          <w:trHeight w:val="230"/>
        </w:trPr>
        <w:tc>
          <w:tcPr>
            <w:tcW w:w="3200" w:type="dxa"/>
            <w:vAlign w:val="bottom"/>
            <w:gridSpan w:val="3"/>
          </w:tcPr>
          <w:p>
            <w:pPr>
              <w:ind w:left="140"/>
              <w:spacing w:after="0"/>
              <w:rPr>
                <w:sz w:val="20"/>
                <w:szCs w:val="20"/>
                <w:color w:val="auto"/>
              </w:rPr>
            </w:pPr>
            <w:r>
              <w:rPr>
                <w:rFonts w:ascii="Arial" w:cs="Arial" w:eastAsia="Arial" w:hAnsi="Arial"/>
                <w:sz w:val="17"/>
                <w:szCs w:val="17"/>
                <w:color w:val="auto"/>
              </w:rPr>
              <w:t>Aggregate purchase price (in millions)</w:t>
            </w: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36.8</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29"/>
        </w:trPr>
        <w:tc>
          <w:tcPr>
            <w:tcW w:w="3200" w:type="dxa"/>
            <w:vAlign w:val="bottom"/>
            <w:gridSpan w:val="3"/>
            <w:shd w:val="clear" w:color="auto" w:fill="F3F3F3"/>
          </w:tcPr>
          <w:p>
            <w:pPr>
              <w:ind w:left="140"/>
              <w:spacing w:after="0"/>
              <w:rPr>
                <w:sz w:val="20"/>
                <w:szCs w:val="20"/>
                <w:color w:val="auto"/>
              </w:rPr>
            </w:pPr>
            <w:r>
              <w:rPr>
                <w:rFonts w:ascii="Arial" w:cs="Arial" w:eastAsia="Arial" w:hAnsi="Arial"/>
                <w:sz w:val="17"/>
                <w:szCs w:val="17"/>
                <w:color w:val="auto"/>
              </w:rPr>
              <w:t>Average price per share</w:t>
            </w:r>
          </w:p>
        </w:tc>
        <w:tc>
          <w:tcPr>
            <w:tcW w:w="23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560" w:type="dxa"/>
            <w:vAlign w:val="bottom"/>
            <w:shd w:val="clear" w:color="auto" w:fill="F3F3F3"/>
          </w:tcPr>
          <w:p>
            <w:pPr>
              <w:spacing w:after="0"/>
              <w:rPr>
                <w:sz w:val="19"/>
                <w:szCs w:val="19"/>
                <w:color w:val="auto"/>
              </w:rPr>
            </w:pPr>
          </w:p>
        </w:tc>
        <w:tc>
          <w:tcPr>
            <w:tcW w:w="1720" w:type="dxa"/>
            <w:vAlign w:val="bottom"/>
            <w:shd w:val="clear" w:color="auto" w:fill="F3F3F3"/>
          </w:tcPr>
          <w:p>
            <w:pPr>
              <w:spacing w:after="0"/>
              <w:rPr>
                <w:sz w:val="19"/>
                <w:szCs w:val="19"/>
                <w:color w:val="auto"/>
              </w:rPr>
            </w:pPr>
          </w:p>
        </w:tc>
        <w:tc>
          <w:tcPr>
            <w:tcW w:w="20" w:type="dxa"/>
            <w:vAlign w:val="bottom"/>
            <w:shd w:val="clear" w:color="auto" w:fill="F3F3F3"/>
          </w:tcPr>
          <w:p>
            <w:pPr>
              <w:spacing w:after="0"/>
              <w:rPr>
                <w:sz w:val="19"/>
                <w:szCs w:val="19"/>
                <w:color w:val="auto"/>
              </w:rPr>
            </w:pPr>
          </w:p>
        </w:tc>
        <w:tc>
          <w:tcPr>
            <w:tcW w:w="440" w:type="dxa"/>
            <w:vAlign w:val="bottom"/>
            <w:shd w:val="clear" w:color="auto" w:fill="F3F3F3"/>
          </w:tcPr>
          <w:p>
            <w:pPr>
              <w:jc w:val="right"/>
              <w:ind w:right="285"/>
              <w:spacing w:after="0"/>
              <w:rPr>
                <w:sz w:val="20"/>
                <w:szCs w:val="20"/>
                <w:color w:val="auto"/>
              </w:rPr>
            </w:pPr>
            <w:r>
              <w:rPr>
                <w:rFonts w:ascii="Arial" w:cs="Arial" w:eastAsia="Arial" w:hAnsi="Arial"/>
                <w:sz w:val="15"/>
                <w:szCs w:val="15"/>
                <w:b w:val="1"/>
                <w:bCs w:val="1"/>
                <w:color w:val="auto"/>
                <w:w w:val="71"/>
              </w:rPr>
              <w:t>$</w:t>
            </w:r>
          </w:p>
        </w:tc>
        <w:tc>
          <w:tcPr>
            <w:tcW w:w="8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80.33</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75.76</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Shares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issues common shares out of treasury stock as a result of employee restricted share vesting and exercise transactions as discussed in Note 15. During the three months ended March 31, 2026 and 2025, the Company issued 1,253,576 shares and 2,676,192 shares, respectively, related to these obligations.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consolidated financial statements include the accounts of Piper Sandler Companies, its wholly owned subsidiaries and other entities in which the Company has a controlling financial interest. Noncontrolling interests represent equity interests in consolidated entities that are not attributable, either directly or indirectly, to Piper Sandler Companies. Noncontrolling interests represent the minority equity holders' proportionate share of the equity in the Company's alternative asset management funds.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Ownership interests in entities held by parties other than the Company's common shareholders are presented as noncontrolling interests within shareholders' equity, separate from the Company's own equity. Revenues, expenses and net income or loss are reported on the consolidated statements of operations on a consolidated basis, which includes amounts attributable to both the Company's common shareholders and noncontrolling interests. Net income or loss is then allocated between the Company and noncontrolling interests based upon their relative ownership interests. Net income/(loss) attributable to noncontrolling interests is deducted from consolidated net income to determine net income attributable to the Company. The Company does not have other comprehensive income or loss attributable to noncontrolling interests.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BUSINESS SEGMENT AND REVENUES INFORMATION</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activities as an investment bank and institutional securities firm constitute a single business segment. Revenues for the Company are derived from investment banking services and institutional sales, trading and research services. The Company is organized as one reportable segment in order to maximize the value provided to clients by leveraging the diversified expertise and broad relationships of its experienced professionals across the Company. Substantially all of the Company's net revenues and long-lived assets are located in the U.S. The accounting policies for the reportable segment are the same as those described in Note 2.</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chief operating decision maker ("CODM") is the chief executive officer. The CODM, who manages business activities on a consolidated basis, considers monthly plan-to-actual variances of net income attributable to Piper Sandler Companies in assessing performance, determining compensation and making decisions about the use of capital, including repurchases of common stock, dividend payments, and acquisitions.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CODM evaluates the performance and allocates resources of the reportable segment based on net income attributable to Piper Sandler Companies as reported on the consolidated statements of operations. For the three months ended March 31, 2026 and 2025, net income attributable to Piper Sandler Companies was $65.2 million and $64.9 million, respectively. The significant expense categories of the reportable segment are consistent with the presentation of non-interest expenses on the consolidated statements of operations. The measure of reportable segment assets is reported on the consolidated statements of financial condition as total assets. At March 31, 2026 and December 31, 2025, total assets were $2.13 billion and $2.59 billion,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net revenues are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r>
      <w:tr>
        <w:trPr>
          <w:trHeight w:val="235"/>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7"/>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r>
      <w:tr>
        <w:trPr>
          <w:trHeight w:val="20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Revenues</w:t>
            </w:r>
          </w:p>
        </w:tc>
        <w:tc>
          <w:tcPr>
            <w:tcW w:w="360" w:type="dxa"/>
            <w:vAlign w:val="bottom"/>
            <w:shd w:val="clear" w:color="auto" w:fill="F3F3F3"/>
          </w:tcPr>
          <w:p>
            <w:pPr>
              <w:spacing w:after="0"/>
              <w:rPr>
                <w:sz w:val="18"/>
                <w:szCs w:val="18"/>
                <w:color w:val="auto"/>
              </w:rPr>
            </w:pPr>
          </w:p>
        </w:tc>
        <w:tc>
          <w:tcPr>
            <w:tcW w:w="12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c>
          <w:tcPr>
            <w:tcW w:w="1120" w:type="dxa"/>
            <w:vAlign w:val="bottom"/>
            <w:shd w:val="clear" w:color="auto" w:fill="F3F3F3"/>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Revenues from contracts with customers:</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b w:val="1"/>
                <w:bCs w:val="1"/>
                <w:color w:val="auto"/>
              </w:rPr>
              <w:t>Investment banking:</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7"/>
                <w:szCs w:val="17"/>
                <w:color w:val="auto"/>
              </w:rPr>
              <w:t>Advisory services</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250,962</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216,800</w:t>
            </w:r>
          </w:p>
        </w:tc>
      </w:tr>
      <w:tr>
        <w:trPr>
          <w:trHeight w:val="230"/>
        </w:trPr>
        <w:tc>
          <w:tcPr>
            <w:tcW w:w="7940" w:type="dxa"/>
            <w:vAlign w:val="bottom"/>
            <w:shd w:val="clear" w:color="auto" w:fill="F3F3F3"/>
          </w:tcPr>
          <w:p>
            <w:pPr>
              <w:ind w:left="360"/>
              <w:spacing w:after="0"/>
              <w:rPr>
                <w:sz w:val="20"/>
                <w:szCs w:val="20"/>
                <w:color w:val="auto"/>
              </w:rPr>
            </w:pPr>
            <w:r>
              <w:rPr>
                <w:rFonts w:ascii="Arial" w:cs="Arial" w:eastAsia="Arial" w:hAnsi="Arial"/>
                <w:sz w:val="17"/>
                <w:szCs w:val="17"/>
                <w:color w:val="auto"/>
              </w:rPr>
              <w:t>Corporate financing</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73,315</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33,061</w:t>
            </w:r>
          </w:p>
        </w:tc>
      </w:tr>
      <w:tr>
        <w:trPr>
          <w:trHeight w:val="230"/>
        </w:trPr>
        <w:tc>
          <w:tcPr>
            <w:tcW w:w="7940" w:type="dxa"/>
            <w:vAlign w:val="bottom"/>
            <w:tcBorders>
              <w:bottom w:val="single" w:sz="8" w:color="F3F3F3"/>
            </w:tcBorders>
          </w:tcPr>
          <w:p>
            <w:pPr>
              <w:ind w:left="360"/>
              <w:spacing w:after="0"/>
              <w:rPr>
                <w:sz w:val="20"/>
                <w:szCs w:val="20"/>
                <w:color w:val="auto"/>
              </w:rPr>
            </w:pPr>
            <w:r>
              <w:rPr>
                <w:rFonts w:ascii="Arial" w:cs="Arial" w:eastAsia="Arial" w:hAnsi="Arial"/>
                <w:sz w:val="17"/>
                <w:szCs w:val="17"/>
                <w:color w:val="auto"/>
              </w:rPr>
              <w:t>Municipal financing</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23,913</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26,403</w:t>
            </w:r>
          </w:p>
        </w:tc>
      </w:tr>
      <w:tr>
        <w:trPr>
          <w:trHeight w:val="223"/>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b w:val="1"/>
                <w:bCs w:val="1"/>
                <w:color w:val="auto"/>
              </w:rPr>
              <w:t>Total investment banking</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348,190</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276,264</w:t>
            </w:r>
          </w:p>
        </w:tc>
      </w:tr>
      <w:tr>
        <w:trPr>
          <w:trHeight w:val="256"/>
        </w:trPr>
        <w:tc>
          <w:tcPr>
            <w:tcW w:w="7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b w:val="1"/>
                <w:bCs w:val="1"/>
                <w:color w:val="auto"/>
              </w:rPr>
              <w:t>Institutional brokerage:</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360"/>
              <w:spacing w:after="0"/>
              <w:rPr>
                <w:sz w:val="20"/>
                <w:szCs w:val="20"/>
                <w:color w:val="auto"/>
              </w:rPr>
            </w:pPr>
            <w:r>
              <w:rPr>
                <w:rFonts w:ascii="Arial" w:cs="Arial" w:eastAsia="Arial" w:hAnsi="Arial"/>
                <w:sz w:val="17"/>
                <w:szCs w:val="17"/>
                <w:color w:val="auto"/>
              </w:rPr>
              <w:t>Equity brokerage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60,470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54,254</w:t>
            </w:r>
          </w:p>
        </w:tc>
      </w:tr>
      <w:tr>
        <w:trPr>
          <w:trHeight w:val="230"/>
        </w:trPr>
        <w:tc>
          <w:tcPr>
            <w:tcW w:w="7940" w:type="dxa"/>
            <w:vAlign w:val="bottom"/>
            <w:shd w:val="clear" w:color="auto" w:fill="F3F3F3"/>
          </w:tcPr>
          <w:p>
            <w:pPr>
              <w:ind w:left="360"/>
              <w:spacing w:after="0"/>
              <w:rPr>
                <w:sz w:val="20"/>
                <w:szCs w:val="20"/>
                <w:color w:val="auto"/>
              </w:rPr>
            </w:pPr>
            <w:r>
              <w:rPr>
                <w:rFonts w:ascii="Arial" w:cs="Arial" w:eastAsia="Arial" w:hAnsi="Arial"/>
                <w:sz w:val="17"/>
                <w:szCs w:val="17"/>
                <w:color w:val="auto"/>
              </w:rPr>
              <w:t>Fixed income services</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50,375</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47,670</w:t>
            </w:r>
          </w:p>
        </w:tc>
      </w:tr>
      <w:tr>
        <w:trPr>
          <w:trHeight w:val="223"/>
        </w:trPr>
        <w:tc>
          <w:tcPr>
            <w:tcW w:w="7940" w:type="dxa"/>
            <w:vAlign w:val="bottom"/>
          </w:tcPr>
          <w:p>
            <w:pPr>
              <w:ind w:left="240"/>
              <w:spacing w:after="0"/>
              <w:rPr>
                <w:sz w:val="20"/>
                <w:szCs w:val="20"/>
                <w:color w:val="auto"/>
              </w:rPr>
            </w:pPr>
            <w:r>
              <w:rPr>
                <w:rFonts w:ascii="Arial" w:cs="Arial" w:eastAsia="Arial" w:hAnsi="Arial"/>
                <w:sz w:val="17"/>
                <w:szCs w:val="17"/>
                <w:b w:val="1"/>
                <w:bCs w:val="1"/>
                <w:color w:val="auto"/>
              </w:rPr>
              <w:t>Total institutional brokerage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110,845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101,924</w:t>
            </w:r>
          </w:p>
        </w:tc>
      </w:tr>
      <w:tr>
        <w:trPr>
          <w:trHeight w:val="256"/>
        </w:trPr>
        <w:tc>
          <w:tcPr>
            <w:tcW w:w="7940" w:type="dxa"/>
            <w:vAlign w:val="bottom"/>
            <w:shd w:val="clear" w:color="auto" w:fill="F3F3F3"/>
          </w:tcPr>
          <w:p>
            <w:pPr>
              <w:spacing w:after="0"/>
              <w:rPr>
                <w:sz w:val="22"/>
                <w:szCs w:val="22"/>
                <w:color w:val="auto"/>
              </w:rPr>
            </w:pPr>
          </w:p>
        </w:tc>
        <w:tc>
          <w:tcPr>
            <w:tcW w:w="360" w:type="dxa"/>
            <w:vAlign w:val="bottom"/>
            <w:tcBorders>
              <w:bottom w:val="single" w:sz="8" w:color="auto"/>
            </w:tcBorders>
            <w:shd w:val="clear" w:color="auto" w:fill="F3F3F3"/>
          </w:tcPr>
          <w:p>
            <w:pPr>
              <w:spacing w:after="0"/>
              <w:rPr>
                <w:sz w:val="22"/>
                <w:szCs w:val="22"/>
                <w:color w:val="auto"/>
              </w:rPr>
            </w:pPr>
          </w:p>
        </w:tc>
        <w:tc>
          <w:tcPr>
            <w:tcW w:w="1240" w:type="dxa"/>
            <w:vAlign w:val="bottom"/>
            <w:tcBorders>
              <w:bottom w:val="single" w:sz="8" w:color="auto"/>
            </w:tcBorders>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480" w:type="dxa"/>
            <w:vAlign w:val="bottom"/>
            <w:tcBorders>
              <w:bottom w:val="single" w:sz="8" w:color="auto"/>
            </w:tcBorders>
            <w:shd w:val="clear" w:color="auto" w:fill="F3F3F3"/>
          </w:tcPr>
          <w:p>
            <w:pPr>
              <w:spacing w:after="0"/>
              <w:rPr>
                <w:sz w:val="22"/>
                <w:szCs w:val="22"/>
                <w:color w:val="auto"/>
              </w:rPr>
            </w:pPr>
          </w:p>
        </w:tc>
        <w:tc>
          <w:tcPr>
            <w:tcW w:w="1120" w:type="dxa"/>
            <w:vAlign w:val="bottom"/>
            <w:tcBorders>
              <w:bottom w:val="single" w:sz="8" w:color="auto"/>
            </w:tcBorders>
            <w:shd w:val="clear" w:color="auto" w:fill="F3F3F3"/>
          </w:tcPr>
          <w:p>
            <w:pPr>
              <w:spacing w:after="0"/>
              <w:rPr>
                <w:sz w:val="22"/>
                <w:szCs w:val="22"/>
                <w:color w:val="auto"/>
              </w:rPr>
            </w:pPr>
          </w:p>
        </w:tc>
      </w:tr>
      <w:tr>
        <w:trPr>
          <w:trHeight w:val="223"/>
        </w:trPr>
        <w:tc>
          <w:tcPr>
            <w:tcW w:w="7940" w:type="dxa"/>
            <w:vAlign w:val="bottom"/>
          </w:tcPr>
          <w:p>
            <w:pPr>
              <w:ind w:left="140"/>
              <w:spacing w:after="0"/>
              <w:rPr>
                <w:sz w:val="20"/>
                <w:szCs w:val="20"/>
                <w:color w:val="auto"/>
              </w:rPr>
            </w:pPr>
            <w:r>
              <w:rPr>
                <w:rFonts w:ascii="Arial" w:cs="Arial" w:eastAsia="Arial" w:hAnsi="Arial"/>
                <w:sz w:val="17"/>
                <w:szCs w:val="17"/>
                <w:b w:val="1"/>
                <w:bCs w:val="1"/>
                <w:color w:val="auto"/>
              </w:rPr>
              <w:t>Total revenues from contracts with customers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459,035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378,188</w:t>
            </w:r>
          </w:p>
        </w:tc>
      </w:tr>
      <w:tr>
        <w:trPr>
          <w:trHeight w:val="256"/>
        </w:trPr>
        <w:tc>
          <w:tcPr>
            <w:tcW w:w="7940" w:type="dxa"/>
            <w:vAlign w:val="bottom"/>
            <w:shd w:val="clear" w:color="auto" w:fill="F3F3F3"/>
          </w:tcPr>
          <w:p>
            <w:pPr>
              <w:spacing w:after="0"/>
              <w:rPr>
                <w:sz w:val="22"/>
                <w:szCs w:val="22"/>
                <w:color w:val="auto"/>
              </w:rPr>
            </w:pPr>
          </w:p>
        </w:tc>
        <w:tc>
          <w:tcPr>
            <w:tcW w:w="360" w:type="dxa"/>
            <w:vAlign w:val="bottom"/>
            <w:shd w:val="clear" w:color="auto" w:fill="F3F3F3"/>
          </w:tcPr>
          <w:p>
            <w:pPr>
              <w:spacing w:after="0"/>
              <w:rPr>
                <w:sz w:val="22"/>
                <w:szCs w:val="22"/>
                <w:color w:val="auto"/>
              </w:rPr>
            </w:pPr>
          </w:p>
        </w:tc>
        <w:tc>
          <w:tcPr>
            <w:tcW w:w="1240" w:type="dxa"/>
            <w:vAlign w:val="bottom"/>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480" w:type="dxa"/>
            <w:vAlign w:val="bottom"/>
            <w:shd w:val="clear" w:color="auto" w:fill="F3F3F3"/>
          </w:tcPr>
          <w:p>
            <w:pPr>
              <w:spacing w:after="0"/>
              <w:rPr>
                <w:sz w:val="22"/>
                <w:szCs w:val="22"/>
                <w:color w:val="auto"/>
              </w:rPr>
            </w:pPr>
          </w:p>
        </w:tc>
        <w:tc>
          <w:tcPr>
            <w:tcW w:w="1120" w:type="dxa"/>
            <w:vAlign w:val="bottom"/>
            <w:shd w:val="clear" w:color="auto" w:fill="F3F3F3"/>
          </w:tcPr>
          <w:p>
            <w:pPr>
              <w:spacing w:after="0"/>
              <w:rPr>
                <w:sz w:val="22"/>
                <w:szCs w:val="22"/>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color w:val="auto"/>
              </w:rPr>
              <w:t>Interest income</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11,646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9,963</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Investment income/(loss)</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4,464</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(29,597)</w:t>
            </w:r>
          </w:p>
        </w:tc>
      </w:tr>
      <w:tr>
        <w:trPr>
          <w:trHeight w:val="223"/>
        </w:trPr>
        <w:tc>
          <w:tcPr>
            <w:tcW w:w="7940" w:type="dxa"/>
            <w:vAlign w:val="bottom"/>
          </w:tcPr>
          <w:p>
            <w:pPr>
              <w:ind w:left="20"/>
              <w:spacing w:after="0"/>
              <w:rPr>
                <w:sz w:val="20"/>
                <w:szCs w:val="20"/>
                <w:color w:val="auto"/>
              </w:rPr>
            </w:pPr>
            <w:r>
              <w:rPr>
                <w:rFonts w:ascii="Arial" w:cs="Arial" w:eastAsia="Arial" w:hAnsi="Arial"/>
                <w:sz w:val="17"/>
                <w:szCs w:val="17"/>
                <w:b w:val="1"/>
                <w:bCs w:val="1"/>
                <w:color w:val="auto"/>
              </w:rPr>
              <w:t>Total revenues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475,145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358,554</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Interest expense</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736</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1,282</w:t>
            </w:r>
          </w:p>
        </w:tc>
      </w:tr>
      <w:tr>
        <w:trPr>
          <w:trHeight w:val="223"/>
        </w:trPr>
        <w:tc>
          <w:tcPr>
            <w:tcW w:w="7940" w:type="dxa"/>
            <w:vAlign w:val="bottom"/>
          </w:tcPr>
          <w:p>
            <w:pPr>
              <w:ind w:left="20"/>
              <w:spacing w:after="0"/>
              <w:rPr>
                <w:sz w:val="20"/>
                <w:szCs w:val="20"/>
                <w:color w:val="auto"/>
              </w:rPr>
            </w:pPr>
            <w:r>
              <w:rPr>
                <w:rFonts w:ascii="Arial" w:cs="Arial" w:eastAsia="Arial" w:hAnsi="Arial"/>
                <w:sz w:val="17"/>
                <w:szCs w:val="17"/>
                <w:b w:val="1"/>
                <w:bCs w:val="1"/>
                <w:color w:val="auto"/>
              </w:rPr>
              <w:t>Net revenues</w:t>
            </w: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474,409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357,272</w:t>
            </w:r>
          </w:p>
        </w:tc>
      </w:tr>
      <w:tr>
        <w:trPr>
          <w:trHeight w:val="20"/>
        </w:trPr>
        <w:tc>
          <w:tcPr>
            <w:tcW w:w="7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15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COMPENSATION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Plans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 has three outstanding stock-based compensation plans: the Amended and Restated 2003 Annual and Long-Term Incentive Plan (the "Incentive Plan"), the 2022 Employment Inducement Award Plan (the "2022 Inducement Plan") and the 2024 Employment Inducement Award Plan (the "2024 Inducement Plan"). The Company's equity awards are recognized on the consolidated statements of operations at grant date fair value over the service period of the award, less forfeitures.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All share and per share amounts presented herein have been retrospectively adjusted to reflect the impact of the Stock Split, as discussed in Note 1.</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summary of the Company's outstanding equity awards (in shares or units, as applicable) as of March 31, 2026:</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Restricted stock</w:t>
            </w:r>
          </w:p>
        </w:tc>
        <w:tc>
          <w:tcPr>
            <w:tcW w:w="1600" w:type="dxa"/>
            <w:vAlign w:val="bottom"/>
            <w:shd w:val="clear" w:color="auto" w:fill="F3F3F3"/>
          </w:tcPr>
          <w:p>
            <w:pPr>
              <w:spacing w:after="0"/>
              <w:rPr>
                <w:sz w:val="19"/>
                <w:szCs w:val="19"/>
                <w:color w:val="auto"/>
              </w:rPr>
            </w:pPr>
          </w:p>
        </w:tc>
      </w:tr>
      <w:tr>
        <w:trPr>
          <w:trHeight w:val="229"/>
        </w:trPr>
        <w:tc>
          <w:tcPr>
            <w:tcW w:w="96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Restricted stock related to compensation plans:</w:t>
            </w:r>
          </w:p>
        </w:tc>
        <w:tc>
          <w:tcPr>
            <w:tcW w:w="1600" w:type="dxa"/>
            <w:vAlign w:val="bottom"/>
          </w:tcPr>
          <w:p>
            <w:pPr>
              <w:spacing w:after="0"/>
              <w:rPr>
                <w:sz w:val="19"/>
                <w:szCs w:val="19"/>
                <w:color w:val="auto"/>
              </w:rPr>
            </w:pPr>
          </w:p>
        </w:tc>
      </w:tr>
      <w:tr>
        <w:trPr>
          <w:trHeight w:val="230"/>
        </w:trPr>
        <w:tc>
          <w:tcPr>
            <w:tcW w:w="96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Annual grants</w:t>
            </w:r>
          </w:p>
        </w:tc>
        <w:tc>
          <w:tcPr>
            <w:tcW w:w="16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1,701,708</w:t>
            </w:r>
          </w:p>
        </w:tc>
      </w:tr>
      <w:tr>
        <w:trPr>
          <w:trHeight w:val="227"/>
        </w:trPr>
        <w:tc>
          <w:tcPr>
            <w:tcW w:w="9640" w:type="dxa"/>
            <w:vAlign w:val="bottom"/>
          </w:tcPr>
          <w:p>
            <w:pPr>
              <w:ind w:left="240"/>
              <w:spacing w:after="0"/>
              <w:rPr>
                <w:sz w:val="20"/>
                <w:szCs w:val="20"/>
                <w:color w:val="auto"/>
              </w:rPr>
            </w:pPr>
            <w:r>
              <w:rPr>
                <w:rFonts w:ascii="Arial" w:cs="Arial" w:eastAsia="Arial" w:hAnsi="Arial"/>
                <w:sz w:val="17"/>
                <w:szCs w:val="17"/>
                <w:color w:val="auto"/>
              </w:rPr>
              <w:t>Sign-on grants</w:t>
            </w:r>
          </w:p>
        </w:tc>
        <w:tc>
          <w:tcPr>
            <w:tcW w:w="1600" w:type="dxa"/>
            <w:vAlign w:val="bottom"/>
          </w:tcPr>
          <w:p>
            <w:pPr>
              <w:jc w:val="right"/>
              <w:spacing w:after="0"/>
              <w:rPr>
                <w:sz w:val="20"/>
                <w:szCs w:val="20"/>
                <w:color w:val="auto"/>
              </w:rPr>
            </w:pPr>
            <w:r>
              <w:rPr>
                <w:rFonts w:ascii="Arial" w:cs="Arial" w:eastAsia="Arial" w:hAnsi="Arial"/>
                <w:sz w:val="17"/>
                <w:szCs w:val="17"/>
                <w:color w:val="auto"/>
              </w:rPr>
              <w:t>388,976</w:t>
            </w:r>
          </w:p>
        </w:tc>
      </w:tr>
      <w:tr>
        <w:trPr>
          <w:trHeight w:val="232"/>
        </w:trPr>
        <w:tc>
          <w:tcPr>
            <w:tcW w:w="96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Inducement grants</w:t>
            </w:r>
          </w:p>
        </w:tc>
        <w:tc>
          <w:tcPr>
            <w:tcW w:w="16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14,372</w:t>
            </w:r>
          </w:p>
        </w:tc>
      </w:tr>
      <w:tr>
        <w:trPr>
          <w:trHeight w:val="227"/>
        </w:trPr>
        <w:tc>
          <w:tcPr>
            <w:tcW w:w="9640" w:type="dxa"/>
            <w:vAlign w:val="bottom"/>
          </w:tcPr>
          <w:p>
            <w:pPr>
              <w:ind w:left="240"/>
              <w:spacing w:after="0"/>
              <w:rPr>
                <w:sz w:val="20"/>
                <w:szCs w:val="20"/>
                <w:color w:val="auto"/>
              </w:rPr>
            </w:pPr>
            <w:r>
              <w:rPr>
                <w:rFonts w:ascii="Arial" w:cs="Arial" w:eastAsia="Arial" w:hAnsi="Arial"/>
                <w:sz w:val="17"/>
                <w:szCs w:val="17"/>
                <w:color w:val="auto"/>
              </w:rPr>
              <w:t>2022 Inducement Plan grants</w:t>
            </w:r>
          </w:p>
        </w:tc>
        <w:tc>
          <w:tcPr>
            <w:tcW w:w="1600" w:type="dxa"/>
            <w:vAlign w:val="bottom"/>
          </w:tcPr>
          <w:p>
            <w:pPr>
              <w:jc w:val="right"/>
              <w:spacing w:after="0"/>
              <w:rPr>
                <w:sz w:val="20"/>
                <w:szCs w:val="20"/>
                <w:color w:val="auto"/>
              </w:rPr>
            </w:pPr>
            <w:r>
              <w:rPr>
                <w:rFonts w:ascii="Arial" w:cs="Arial" w:eastAsia="Arial" w:hAnsi="Arial"/>
                <w:sz w:val="17"/>
                <w:szCs w:val="17"/>
                <w:color w:val="auto"/>
              </w:rPr>
              <w:t>253,220</w:t>
            </w:r>
          </w:p>
        </w:tc>
      </w:tr>
      <w:tr>
        <w:trPr>
          <w:trHeight w:val="232"/>
        </w:trPr>
        <w:tc>
          <w:tcPr>
            <w:tcW w:w="96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2024 Inducement Plan grants</w:t>
            </w:r>
          </w:p>
        </w:tc>
        <w:tc>
          <w:tcPr>
            <w:tcW w:w="16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138,340</w:t>
            </w:r>
          </w:p>
        </w:tc>
      </w:tr>
      <w:tr>
        <w:trPr>
          <w:trHeight w:val="221"/>
        </w:trPr>
        <w:tc>
          <w:tcPr>
            <w:tcW w:w="9640" w:type="dxa"/>
            <w:vAlign w:val="bottom"/>
          </w:tcPr>
          <w:p>
            <w:pPr>
              <w:ind w:left="140"/>
              <w:spacing w:after="0"/>
              <w:rPr>
                <w:sz w:val="20"/>
                <w:szCs w:val="20"/>
                <w:color w:val="auto"/>
              </w:rPr>
            </w:pPr>
            <w:r>
              <w:rPr>
                <w:rFonts w:ascii="Arial" w:cs="Arial" w:eastAsia="Arial" w:hAnsi="Arial"/>
                <w:sz w:val="17"/>
                <w:szCs w:val="17"/>
                <w:b w:val="1"/>
                <w:bCs w:val="1"/>
                <w:color w:val="auto"/>
              </w:rPr>
              <w:t>Total restricted stock related to compensation plans</w:t>
            </w:r>
          </w:p>
        </w:tc>
        <w:tc>
          <w:tcPr>
            <w:tcW w:w="1600" w:type="dxa"/>
            <w:vAlign w:val="bottom"/>
          </w:tcPr>
          <w:p>
            <w:pPr>
              <w:jc w:val="right"/>
              <w:spacing w:after="0"/>
              <w:rPr>
                <w:sz w:val="20"/>
                <w:szCs w:val="20"/>
                <w:color w:val="auto"/>
              </w:rPr>
            </w:pPr>
            <w:r>
              <w:rPr>
                <w:rFonts w:ascii="Arial" w:cs="Arial" w:eastAsia="Arial" w:hAnsi="Arial"/>
                <w:sz w:val="17"/>
                <w:szCs w:val="17"/>
                <w:color w:val="auto"/>
              </w:rPr>
              <w:t>2,496,616</w:t>
            </w:r>
          </w:p>
        </w:tc>
      </w:tr>
      <w:tr>
        <w:trPr>
          <w:trHeight w:val="259"/>
        </w:trPr>
        <w:tc>
          <w:tcPr>
            <w:tcW w:w="9640" w:type="dxa"/>
            <w:vAlign w:val="bottom"/>
            <w:shd w:val="clear" w:color="auto" w:fill="F3F3F3"/>
          </w:tcPr>
          <w:p>
            <w:pPr>
              <w:spacing w:after="0"/>
              <w:rPr>
                <w:sz w:val="22"/>
                <w:szCs w:val="22"/>
                <w:color w:val="auto"/>
              </w:rPr>
            </w:pPr>
          </w:p>
        </w:tc>
        <w:tc>
          <w:tcPr>
            <w:tcW w:w="1600" w:type="dxa"/>
            <w:vAlign w:val="bottom"/>
            <w:shd w:val="clear" w:color="auto" w:fill="F3F3F3"/>
          </w:tcPr>
          <w:p>
            <w:pPr>
              <w:spacing w:after="0"/>
              <w:rPr>
                <w:sz w:val="22"/>
                <w:szCs w:val="22"/>
                <w:color w:val="auto"/>
              </w:rPr>
            </w:pPr>
          </w:p>
        </w:tc>
      </w:tr>
      <w:tr>
        <w:trPr>
          <w:trHeight w:val="227"/>
        </w:trPr>
        <w:tc>
          <w:tcPr>
            <w:tcW w:w="96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Restricted stock related to acquisitions (1)</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969,900</w:t>
            </w:r>
          </w:p>
        </w:tc>
      </w:tr>
      <w:tr>
        <w:trPr>
          <w:trHeight w:val="249"/>
        </w:trPr>
        <w:tc>
          <w:tcPr>
            <w:tcW w:w="964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Total restricted stock</w:t>
            </w:r>
          </w:p>
        </w:tc>
        <w:tc>
          <w:tcPr>
            <w:tcW w:w="16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3,466,516</w:t>
            </w:r>
          </w:p>
        </w:tc>
      </w:tr>
      <w:tr>
        <w:trPr>
          <w:trHeight w:val="20"/>
        </w:trPr>
        <w:tc>
          <w:tcPr>
            <w:tcW w:w="9640" w:type="dxa"/>
            <w:vAlign w:val="bottom"/>
            <w:tcBorders>
              <w:top w:val="single" w:sz="8" w:color="F3F3F3"/>
            </w:tcBorders>
          </w:tcPr>
          <w:p>
            <w:pPr>
              <w:spacing w:after="0" w:line="20" w:lineRule="exact"/>
              <w:rPr>
                <w:sz w:val="1"/>
                <w:szCs w:val="1"/>
                <w:color w:val="auto"/>
              </w:rPr>
            </w:pPr>
          </w:p>
        </w:tc>
        <w:tc>
          <w:tcPr>
            <w:tcW w:w="1600" w:type="dxa"/>
            <w:vAlign w:val="bottom"/>
            <w:tcBorders>
              <w:top w:val="single" w:sz="8" w:color="F3F3F3"/>
              <w:bottom w:val="single" w:sz="8" w:color="auto"/>
            </w:tcBorders>
          </w:tcPr>
          <w:p>
            <w:pPr>
              <w:spacing w:after="0" w:line="20" w:lineRule="exact"/>
              <w:rPr>
                <w:sz w:val="1"/>
                <w:szCs w:val="1"/>
                <w:color w:val="auto"/>
              </w:rPr>
            </w:pPr>
          </w:p>
        </w:tc>
      </w:tr>
      <w:tr>
        <w:trPr>
          <w:trHeight w:val="205"/>
        </w:trPr>
        <w:tc>
          <w:tcPr>
            <w:tcW w:w="96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55"/>
        </w:trPr>
        <w:tc>
          <w:tcPr>
            <w:tcW w:w="964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Restricted stock units</w:t>
            </w:r>
          </w:p>
        </w:tc>
        <w:tc>
          <w:tcPr>
            <w:tcW w:w="16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425,080</w:t>
            </w:r>
          </w:p>
        </w:tc>
      </w:tr>
      <w:tr>
        <w:trPr>
          <w:trHeight w:val="20"/>
        </w:trPr>
        <w:tc>
          <w:tcPr>
            <w:tcW w:w="9640" w:type="dxa"/>
            <w:vAlign w:val="bottom"/>
            <w:tcBorders>
              <w:top w:val="single" w:sz="8" w:color="F3F3F3"/>
            </w:tcBorders>
          </w:tcPr>
          <w:p>
            <w:pPr>
              <w:spacing w:after="0" w:line="20" w:lineRule="exact"/>
              <w:rPr>
                <w:sz w:val="1"/>
                <w:szCs w:val="1"/>
                <w:color w:val="auto"/>
              </w:rPr>
            </w:pPr>
          </w:p>
        </w:tc>
        <w:tc>
          <w:tcPr>
            <w:tcW w:w="1600" w:type="dxa"/>
            <w:vAlign w:val="bottom"/>
            <w:tcBorders>
              <w:top w:val="single" w:sz="8" w:color="F3F3F3"/>
              <w:bottom w:val="single" w:sz="8" w:color="auto"/>
            </w:tcBorders>
          </w:tcPr>
          <w:p>
            <w:pPr>
              <w:spacing w:after="0" w:line="20" w:lineRule="exact"/>
              <w:rPr>
                <w:sz w:val="1"/>
                <w:szCs w:val="1"/>
                <w:color w:val="auto"/>
              </w:rPr>
            </w:pPr>
          </w:p>
        </w:tc>
      </w:tr>
      <w:tr>
        <w:trPr>
          <w:trHeight w:val="203"/>
        </w:trPr>
        <w:tc>
          <w:tcPr>
            <w:tcW w:w="96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55"/>
        </w:trPr>
        <w:tc>
          <w:tcPr>
            <w:tcW w:w="964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Stock options</w:t>
            </w:r>
          </w:p>
        </w:tc>
        <w:tc>
          <w:tcPr>
            <w:tcW w:w="16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402,108</w:t>
            </w:r>
          </w:p>
        </w:tc>
      </w:tr>
      <w:tr>
        <w:trPr>
          <w:trHeight w:val="20"/>
        </w:trPr>
        <w:tc>
          <w:tcPr>
            <w:tcW w:w="9640" w:type="dxa"/>
            <w:vAlign w:val="bottom"/>
            <w:tcBorders>
              <w:top w:val="single" w:sz="8" w:color="F3F3F3"/>
            </w:tcBorders>
          </w:tcPr>
          <w:p>
            <w:pPr>
              <w:spacing w:after="0" w:line="20" w:lineRule="exact"/>
              <w:rPr>
                <w:sz w:val="1"/>
                <w:szCs w:val="1"/>
                <w:color w:val="auto"/>
              </w:rPr>
            </w:pPr>
          </w:p>
        </w:tc>
        <w:tc>
          <w:tcPr>
            <w:tcW w:w="1600" w:type="dxa"/>
            <w:vAlign w:val="bottom"/>
            <w:tcBorders>
              <w:top w:val="single" w:sz="8" w:color="F3F3F3"/>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i w:val="1"/>
          <w:iCs w:val="1"/>
          <w:color w:val="auto"/>
        </w:rPr>
        <w:t>(1)</w:t>
        <w:tab/>
        <w:t>Includes restricted stock with service conditions issued in conjunction with certain acquisitions.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Plan</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Incentive Plan permits the grant of equity awards, including restricted stock, restricted stock units and non-qualified stock options, to the Company's employees and directors for up to 43.6 million shares of common stock (6.4 million shares remained available for future issuance under the Incentive Plan as of March 31, 2026). The Company believes that such awards help align the interests of employees and directors with those of shareholders and serve as an employee retention tool. The Incentive Plan provides for accelerated vesting of awards if there is a severance event, a change in control of the Company (as defined in the Incentive Plan), in the event of a participant's death, and at the discretion of the compensation committee of the Company's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Awards</w:t>
      </w:r>
    </w:p>
    <w:p>
      <w:pPr>
        <w:spacing w:after="0" w:line="24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Restricted stock grants are valued at the market price of the Company's common stock on the date of grant and are amortized over the requisite service period. The Company grants shares of restricted stock to employees as part of year-end compensation ("Annual Grants") and upon initial hiring or as a retention award ("Sign-on Grants" or "Inducement Grants").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Company's Annual Grants are made each year in February. Annual Grants vest ratably over three or four years in equal installments. Substantially all Annual Grants provide for continued vesting after termination of employment, so long as the employee does not violate certain post-termination restrictions set forth in the award agreement or any agreements entered into upon termination. The Company determined the service inception date precedes the grant date for these Annual Grants, and that the post-termination restrictions do not meet the criteria for an in-substance service condition, as defined by FASB Accounting Standards Codification Topic 718, "Compensation — Stock Compensation." Accordingly, restricted stock granted as part of these Annual Grants is expensed in the one-year period in which those awards are deemed to be earned, which is generally the calendar year preceding the February grant date. For example, the Company recognized compensation expense during fiscal year 2025 for its February 2026 Annual Grant. If an equity award related to these Annual Grants is forfeited as a result of violating the post-termination restrictions, the lower of the fair value of the award at grant date or the fair value of the award at the date of forfeiture is recorded within the consolidated statements of operations as a reversal of compensation expense.</w:t>
      </w:r>
    </w:p>
    <w:p>
      <w:pPr>
        <w:spacing w:after="0" w:line="21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Sign-on Grants are used as a recruiting tool for new employees and are issued to current employees as a retention tool. These awards have both cliff and ratable vesting terms, and the employees must fulfill service requirements in exchange for rights to the awards. Compensation expense is amortized on a straight-line basis from the grant date over the requisite service period, generally three to five years. Employees forfeit unvested shares upon termination of employment and a reversal of compensation expense is recorded.</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Inducement Grants are issued as a retention tool in conjunction with certain acquisitions. These restricted shares are subject to graded or ratable vesting terms, and employees must fulfill service requirements in exchange for the rights to the restricted shares. Compensation expense is amortized on a straight-line basis over the requisite service period, generally three to four years. Employees forfeit unvested shares upon termination of employment and a reversal of compensation expense is recorded. During 2022, the Company granted $9.3 million (260,500 shares) in restricted stock under the Incentive Plan in conjunction with its acquisitions of Cornerstone Macro Research LP, including its subsidiary, Cornerstone Macro LLC (collectively, "Cornerstone Macro") and Stamford Partners LLP.</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Annually, the Company grants stock to its non-employee directors. The stock-based compensation paid to non-employee directors is fully expensed on the grant date and included within outside services expense on the consolidated statements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grants restricted stock units to its leadership team ("Leadership Grants"). Restricted stock units will vest and convert to shares of common stock at the end of each 36-month performance period only if the Company satisfies predetermined performance and/or market conditions over the performance period. The performance condition requires the Company to achieve certain average adjusted return on equity targets, as defined in the terms of the award agreements. The market condition requires the Company to achieve a certain total shareholder return ("TSR") relative to members of a predetermined peer group. Under the terms of these awards, the number of units that will actually vest and convert to shares will be based on the extent to which the Company achieves the specified targets during each performance period. The maximum payout leverage by grant year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7"/>
                <w:szCs w:val="17"/>
                <w:b w:val="1"/>
                <w:bCs w:val="1"/>
                <w:color w:val="auto"/>
              </w:rPr>
              <w:t>Maximum Payout Leverage</w:t>
            </w:r>
          </w:p>
        </w:tc>
        <w:tc>
          <w:tcPr>
            <w:tcW w:w="2740" w:type="dxa"/>
            <w:vAlign w:val="bottom"/>
            <w:tcBorders>
              <w:bottom w:val="single" w:sz="8" w:color="auto"/>
            </w:tcBorders>
          </w:tcPr>
          <w:p>
            <w:pPr>
              <w:spacing w:after="0"/>
              <w:rPr>
                <w:sz w:val="20"/>
                <w:szCs w:val="20"/>
                <w:color w:val="auto"/>
              </w:rPr>
            </w:pPr>
          </w:p>
        </w:tc>
      </w:tr>
      <w:tr>
        <w:trPr>
          <w:trHeight w:val="226"/>
        </w:trPr>
        <w:tc>
          <w:tcPr>
            <w:tcW w:w="2820" w:type="dxa"/>
            <w:vAlign w:val="bottom"/>
            <w:gridSpan w:val="2"/>
          </w:tcPr>
          <w:p>
            <w:pPr>
              <w:ind w:left="20"/>
              <w:spacing w:after="0"/>
              <w:rPr>
                <w:sz w:val="20"/>
                <w:szCs w:val="20"/>
                <w:color w:val="auto"/>
              </w:rPr>
            </w:pPr>
            <w:r>
              <w:rPr>
                <w:rFonts w:ascii="Arial" w:cs="Arial" w:eastAsia="Arial" w:hAnsi="Arial"/>
                <w:sz w:val="17"/>
                <w:szCs w:val="17"/>
                <w:b w:val="1"/>
                <w:bCs w:val="1"/>
                <w:color w:val="auto"/>
              </w:rPr>
              <w:t>Grant Year</w:t>
            </w:r>
          </w:p>
        </w:tc>
        <w:tc>
          <w:tcPr>
            <w:tcW w:w="2840" w:type="dxa"/>
            <w:vAlign w:val="bottom"/>
            <w:gridSpan w:val="2"/>
          </w:tcPr>
          <w:p>
            <w:pPr>
              <w:ind w:left="440"/>
              <w:spacing w:after="0"/>
              <w:rPr>
                <w:sz w:val="20"/>
                <w:szCs w:val="20"/>
                <w:color w:val="auto"/>
              </w:rPr>
            </w:pPr>
            <w:r>
              <w:rPr>
                <w:rFonts w:ascii="Arial" w:cs="Arial" w:eastAsia="Arial" w:hAnsi="Arial"/>
                <w:sz w:val="17"/>
                <w:szCs w:val="17"/>
                <w:b w:val="1"/>
                <w:bCs w:val="1"/>
                <w:color w:val="auto"/>
              </w:rPr>
              <w:t>Performance Condition</w:t>
            </w:r>
          </w:p>
        </w:tc>
        <w:tc>
          <w:tcPr>
            <w:tcW w:w="28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Market Condition</w:t>
            </w:r>
          </w:p>
        </w:tc>
        <w:tc>
          <w:tcPr>
            <w:tcW w:w="2740" w:type="dxa"/>
            <w:vAlign w:val="bottom"/>
          </w:tcPr>
          <w:p>
            <w:pPr>
              <w:ind w:left="1180"/>
              <w:spacing w:after="0"/>
              <w:rPr>
                <w:sz w:val="20"/>
                <w:szCs w:val="20"/>
                <w:color w:val="auto"/>
              </w:rPr>
            </w:pPr>
            <w:r>
              <w:rPr>
                <w:rFonts w:ascii="Arial" w:cs="Arial" w:eastAsia="Arial" w:hAnsi="Arial"/>
                <w:sz w:val="17"/>
                <w:szCs w:val="17"/>
                <w:b w:val="1"/>
                <w:bCs w:val="1"/>
                <w:color w:val="auto"/>
              </w:rPr>
              <w:t>Total</w:t>
            </w:r>
          </w:p>
        </w:tc>
      </w:tr>
      <w:tr>
        <w:trPr>
          <w:trHeight w:val="223"/>
        </w:trPr>
        <w:tc>
          <w:tcPr>
            <w:tcW w:w="2740" w:type="dxa"/>
            <w:vAlign w:val="bottom"/>
            <w:tcBorders>
              <w:top w:val="single" w:sz="8" w:color="auto"/>
            </w:tcBorders>
            <w:shd w:val="clear" w:color="auto" w:fill="F3F3F3"/>
          </w:tcPr>
          <w:p>
            <w:pPr>
              <w:ind w:left="20"/>
              <w:spacing w:after="0"/>
              <w:rPr>
                <w:sz w:val="20"/>
                <w:szCs w:val="20"/>
                <w:color w:val="auto"/>
              </w:rPr>
            </w:pPr>
            <w:r>
              <w:rPr>
                <w:rFonts w:ascii="Arial" w:cs="Arial" w:eastAsia="Arial" w:hAnsi="Arial"/>
                <w:sz w:val="17"/>
                <w:szCs w:val="17"/>
                <w:color w:val="auto"/>
              </w:rPr>
              <w:t>2026</w:t>
            </w:r>
          </w:p>
        </w:tc>
        <w:tc>
          <w:tcPr>
            <w:tcW w:w="80" w:type="dxa"/>
            <w:vAlign w:val="bottom"/>
            <w:tcBorders>
              <w:top w:val="single" w:sz="8" w:color="F3F3F3"/>
            </w:tcBorders>
            <w:shd w:val="clear" w:color="auto" w:fill="F3F3F3"/>
          </w:tcPr>
          <w:p>
            <w:pPr>
              <w:spacing w:after="0"/>
              <w:rPr>
                <w:sz w:val="19"/>
                <w:szCs w:val="19"/>
                <w:color w:val="auto"/>
              </w:rPr>
            </w:pPr>
          </w:p>
        </w:tc>
        <w:tc>
          <w:tcPr>
            <w:tcW w:w="2740" w:type="dxa"/>
            <w:vAlign w:val="bottom"/>
            <w:tcBorders>
              <w:top w:val="single" w:sz="8" w:color="auto"/>
            </w:tcBorders>
            <w:shd w:val="clear" w:color="auto" w:fill="F3F3F3"/>
          </w:tcPr>
          <w:p>
            <w:pPr>
              <w:jc w:val="center"/>
              <w:spacing w:after="0"/>
              <w:rPr>
                <w:sz w:val="20"/>
                <w:szCs w:val="20"/>
                <w:color w:val="auto"/>
              </w:rPr>
            </w:pPr>
            <w:r>
              <w:rPr>
                <w:rFonts w:ascii="Arial" w:cs="Arial" w:eastAsia="Arial" w:hAnsi="Arial"/>
                <w:sz w:val="17"/>
                <w:szCs w:val="17"/>
                <w:color w:val="auto"/>
              </w:rPr>
              <w:t>75%</w:t>
            </w:r>
          </w:p>
        </w:tc>
        <w:tc>
          <w:tcPr>
            <w:tcW w:w="100" w:type="dxa"/>
            <w:vAlign w:val="bottom"/>
            <w:tcBorders>
              <w:top w:val="single" w:sz="8" w:color="F3F3F3"/>
            </w:tcBorders>
            <w:shd w:val="clear" w:color="auto" w:fill="F3F3F3"/>
          </w:tcPr>
          <w:p>
            <w:pPr>
              <w:spacing w:after="0"/>
              <w:rPr>
                <w:sz w:val="19"/>
                <w:szCs w:val="19"/>
                <w:color w:val="auto"/>
              </w:rPr>
            </w:pPr>
          </w:p>
        </w:tc>
        <w:tc>
          <w:tcPr>
            <w:tcW w:w="2740" w:type="dxa"/>
            <w:vAlign w:val="bottom"/>
            <w:tcBorders>
              <w:top w:val="single" w:sz="8" w:color="auto"/>
            </w:tcBorders>
            <w:shd w:val="clear" w:color="auto" w:fill="F3F3F3"/>
          </w:tcPr>
          <w:p>
            <w:pPr>
              <w:jc w:val="center"/>
              <w:spacing w:after="0"/>
              <w:rPr>
                <w:sz w:val="20"/>
                <w:szCs w:val="20"/>
                <w:color w:val="auto"/>
              </w:rPr>
            </w:pPr>
            <w:r>
              <w:rPr>
                <w:rFonts w:ascii="Arial" w:cs="Arial" w:eastAsia="Arial" w:hAnsi="Arial"/>
                <w:sz w:val="17"/>
                <w:szCs w:val="17"/>
                <w:color w:val="auto"/>
                <w:w w:val="99"/>
              </w:rPr>
              <w:t>75%</w:t>
            </w:r>
          </w:p>
        </w:tc>
        <w:tc>
          <w:tcPr>
            <w:tcW w:w="100" w:type="dxa"/>
            <w:vAlign w:val="bottom"/>
            <w:tcBorders>
              <w:top w:val="single" w:sz="8" w:color="F3F3F3"/>
            </w:tcBorders>
            <w:shd w:val="clear" w:color="auto" w:fill="F3F3F3"/>
          </w:tcPr>
          <w:p>
            <w:pPr>
              <w:spacing w:after="0"/>
              <w:rPr>
                <w:sz w:val="19"/>
                <w:szCs w:val="19"/>
                <w:color w:val="auto"/>
              </w:rPr>
            </w:pPr>
          </w:p>
        </w:tc>
        <w:tc>
          <w:tcPr>
            <w:tcW w:w="2740" w:type="dxa"/>
            <w:vAlign w:val="bottom"/>
            <w:tcBorders>
              <w:top w:val="single" w:sz="8" w:color="auto"/>
            </w:tcBorders>
            <w:shd w:val="clear" w:color="auto" w:fill="F3F3F3"/>
          </w:tcPr>
          <w:p>
            <w:pPr>
              <w:ind w:left="1160"/>
              <w:spacing w:after="0"/>
              <w:rPr>
                <w:sz w:val="20"/>
                <w:szCs w:val="20"/>
                <w:color w:val="auto"/>
              </w:rPr>
            </w:pPr>
            <w:r>
              <w:rPr>
                <w:rFonts w:ascii="Arial" w:cs="Arial" w:eastAsia="Arial" w:hAnsi="Arial"/>
                <w:sz w:val="17"/>
                <w:szCs w:val="17"/>
                <w:color w:val="auto"/>
              </w:rPr>
              <w:t>150%</w:t>
            </w:r>
          </w:p>
        </w:tc>
      </w:tr>
      <w:tr>
        <w:trPr>
          <w:trHeight w:val="227"/>
        </w:trPr>
        <w:tc>
          <w:tcPr>
            <w:tcW w:w="2740" w:type="dxa"/>
            <w:vAlign w:val="bottom"/>
          </w:tcPr>
          <w:p>
            <w:pPr>
              <w:ind w:left="20"/>
              <w:spacing w:after="0"/>
              <w:rPr>
                <w:sz w:val="20"/>
                <w:szCs w:val="20"/>
                <w:color w:val="auto"/>
              </w:rPr>
            </w:pPr>
            <w:r>
              <w:rPr>
                <w:rFonts w:ascii="Arial" w:cs="Arial" w:eastAsia="Arial" w:hAnsi="Arial"/>
                <w:sz w:val="17"/>
                <w:szCs w:val="17"/>
                <w:color w:val="auto"/>
              </w:rPr>
              <w:t>2025</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w w:val="99"/>
              </w:rPr>
              <w:t>75%</w:t>
            </w:r>
          </w:p>
        </w:tc>
        <w:tc>
          <w:tcPr>
            <w:tcW w:w="100" w:type="dxa"/>
            <w:vAlign w:val="bottom"/>
          </w:tcPr>
          <w:p>
            <w:pPr>
              <w:spacing w:after="0"/>
              <w:rPr>
                <w:sz w:val="19"/>
                <w:szCs w:val="19"/>
                <w:color w:val="auto"/>
              </w:rPr>
            </w:pPr>
          </w:p>
        </w:tc>
        <w:tc>
          <w:tcPr>
            <w:tcW w:w="2740" w:type="dxa"/>
            <w:vAlign w:val="bottom"/>
          </w:tcPr>
          <w:p>
            <w:pPr>
              <w:ind w:left="1160"/>
              <w:spacing w:after="0"/>
              <w:rPr>
                <w:sz w:val="20"/>
                <w:szCs w:val="20"/>
                <w:color w:val="auto"/>
              </w:rPr>
            </w:pPr>
            <w:r>
              <w:rPr>
                <w:rFonts w:ascii="Arial" w:cs="Arial" w:eastAsia="Arial" w:hAnsi="Arial"/>
                <w:sz w:val="17"/>
                <w:szCs w:val="17"/>
                <w:color w:val="auto"/>
              </w:rPr>
              <w:t>150%</w:t>
            </w:r>
          </w:p>
        </w:tc>
      </w:tr>
      <w:tr>
        <w:trPr>
          <w:trHeight w:val="232"/>
        </w:trPr>
        <w:tc>
          <w:tcPr>
            <w:tcW w:w="2740" w:type="dxa"/>
            <w:vAlign w:val="bottom"/>
            <w:shd w:val="clear" w:color="auto" w:fill="F3F3F3"/>
          </w:tcPr>
          <w:p>
            <w:pPr>
              <w:ind w:left="20"/>
              <w:spacing w:after="0"/>
              <w:rPr>
                <w:sz w:val="20"/>
                <w:szCs w:val="20"/>
                <w:color w:val="auto"/>
              </w:rPr>
            </w:pPr>
            <w:r>
              <w:rPr>
                <w:rFonts w:ascii="Arial" w:cs="Arial" w:eastAsia="Arial" w:hAnsi="Arial"/>
                <w:sz w:val="17"/>
                <w:szCs w:val="17"/>
                <w:color w:val="auto"/>
              </w:rPr>
              <w:t>2024</w:t>
            </w:r>
          </w:p>
        </w:tc>
        <w:tc>
          <w:tcPr>
            <w:tcW w:w="80" w:type="dxa"/>
            <w:vAlign w:val="bottom"/>
            <w:shd w:val="clear" w:color="auto" w:fill="F3F3F3"/>
          </w:tcPr>
          <w:p>
            <w:pPr>
              <w:spacing w:after="0"/>
              <w:rPr>
                <w:sz w:val="20"/>
                <w:szCs w:val="20"/>
                <w:color w:val="auto"/>
              </w:rPr>
            </w:pPr>
          </w:p>
        </w:tc>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75%</w:t>
            </w:r>
          </w:p>
        </w:tc>
        <w:tc>
          <w:tcPr>
            <w:tcW w:w="100" w:type="dxa"/>
            <w:vAlign w:val="bottom"/>
            <w:shd w:val="clear" w:color="auto" w:fill="F3F3F3"/>
          </w:tcPr>
          <w:p>
            <w:pPr>
              <w:spacing w:after="0"/>
              <w:rPr>
                <w:sz w:val="20"/>
                <w:szCs w:val="20"/>
                <w:color w:val="auto"/>
              </w:rPr>
            </w:pPr>
          </w:p>
        </w:tc>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w w:val="99"/>
              </w:rPr>
              <w:t>75%</w:t>
            </w:r>
          </w:p>
        </w:tc>
        <w:tc>
          <w:tcPr>
            <w:tcW w:w="100" w:type="dxa"/>
            <w:vAlign w:val="bottom"/>
            <w:shd w:val="clear" w:color="auto" w:fill="F3F3F3"/>
          </w:tcPr>
          <w:p>
            <w:pPr>
              <w:spacing w:after="0"/>
              <w:rPr>
                <w:sz w:val="20"/>
                <w:szCs w:val="20"/>
                <w:color w:val="auto"/>
              </w:rPr>
            </w:pPr>
          </w:p>
        </w:tc>
        <w:tc>
          <w:tcPr>
            <w:tcW w:w="2740" w:type="dxa"/>
            <w:vAlign w:val="bottom"/>
            <w:shd w:val="clear" w:color="auto" w:fill="F3F3F3"/>
          </w:tcPr>
          <w:p>
            <w:pPr>
              <w:ind w:left="1160"/>
              <w:spacing w:after="0"/>
              <w:rPr>
                <w:sz w:val="20"/>
                <w:szCs w:val="20"/>
                <w:color w:val="auto"/>
              </w:rPr>
            </w:pPr>
            <w:r>
              <w:rPr>
                <w:rFonts w:ascii="Arial" w:cs="Arial" w:eastAsia="Arial" w:hAnsi="Arial"/>
                <w:sz w:val="17"/>
                <w:szCs w:val="17"/>
                <w:color w:val="auto"/>
              </w:rPr>
              <w:t>150%</w:t>
            </w:r>
          </w:p>
        </w:tc>
      </w:tr>
      <w:tr>
        <w:trPr>
          <w:trHeight w:val="227"/>
        </w:trPr>
        <w:tc>
          <w:tcPr>
            <w:tcW w:w="2740" w:type="dxa"/>
            <w:vAlign w:val="bottom"/>
          </w:tcPr>
          <w:p>
            <w:pPr>
              <w:ind w:left="20"/>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2740" w:type="dxa"/>
            <w:vAlign w:val="bottom"/>
          </w:tcPr>
          <w:p>
            <w:pPr>
              <w:ind w:left="1160"/>
              <w:spacing w:after="0"/>
              <w:rPr>
                <w:sz w:val="20"/>
                <w:szCs w:val="20"/>
                <w:color w:val="auto"/>
              </w:rPr>
            </w:pPr>
            <w:r>
              <w:rPr>
                <w:rFonts w:ascii="Arial" w:cs="Arial" w:eastAsia="Arial" w:hAnsi="Arial"/>
                <w:sz w:val="17"/>
                <w:szCs w:val="17"/>
                <w:color w:val="auto"/>
              </w:rPr>
              <w:t>200%</w:t>
            </w:r>
          </w:p>
        </w:tc>
      </w:tr>
      <w:tr>
        <w:trPr>
          <w:trHeight w:val="232"/>
        </w:trPr>
        <w:tc>
          <w:tcPr>
            <w:tcW w:w="2740" w:type="dxa"/>
            <w:vAlign w:val="bottom"/>
            <w:shd w:val="clear" w:color="auto" w:fill="F3F3F3"/>
          </w:tcPr>
          <w:p>
            <w:pPr>
              <w:ind w:left="20"/>
              <w:spacing w:after="0"/>
              <w:rPr>
                <w:sz w:val="20"/>
                <w:szCs w:val="20"/>
                <w:color w:val="auto"/>
              </w:rPr>
            </w:pPr>
            <w:r>
              <w:rPr>
                <w:rFonts w:ascii="Arial" w:cs="Arial" w:eastAsia="Arial" w:hAnsi="Arial"/>
                <w:sz w:val="17"/>
                <w:szCs w:val="17"/>
                <w:color w:val="auto"/>
              </w:rPr>
              <w:t>2022</w:t>
            </w:r>
          </w:p>
        </w:tc>
        <w:tc>
          <w:tcPr>
            <w:tcW w:w="80" w:type="dxa"/>
            <w:vAlign w:val="bottom"/>
            <w:shd w:val="clear" w:color="auto" w:fill="F3F3F3"/>
          </w:tcPr>
          <w:p>
            <w:pPr>
              <w:spacing w:after="0"/>
              <w:rPr>
                <w:sz w:val="20"/>
                <w:szCs w:val="20"/>
                <w:color w:val="auto"/>
              </w:rPr>
            </w:pPr>
          </w:p>
        </w:tc>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75%</w:t>
            </w:r>
          </w:p>
        </w:tc>
        <w:tc>
          <w:tcPr>
            <w:tcW w:w="100" w:type="dxa"/>
            <w:vAlign w:val="bottom"/>
            <w:shd w:val="clear" w:color="auto" w:fill="F3F3F3"/>
          </w:tcPr>
          <w:p>
            <w:pPr>
              <w:spacing w:after="0"/>
              <w:rPr>
                <w:sz w:val="20"/>
                <w:szCs w:val="20"/>
                <w:color w:val="auto"/>
              </w:rPr>
            </w:pPr>
          </w:p>
        </w:tc>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w w:val="99"/>
              </w:rPr>
              <w:t>75%</w:t>
            </w:r>
          </w:p>
        </w:tc>
        <w:tc>
          <w:tcPr>
            <w:tcW w:w="100" w:type="dxa"/>
            <w:vAlign w:val="bottom"/>
            <w:shd w:val="clear" w:color="auto" w:fill="F3F3F3"/>
          </w:tcPr>
          <w:p>
            <w:pPr>
              <w:spacing w:after="0"/>
              <w:rPr>
                <w:sz w:val="20"/>
                <w:szCs w:val="20"/>
                <w:color w:val="auto"/>
              </w:rPr>
            </w:pPr>
          </w:p>
        </w:tc>
        <w:tc>
          <w:tcPr>
            <w:tcW w:w="2740" w:type="dxa"/>
            <w:vAlign w:val="bottom"/>
            <w:shd w:val="clear" w:color="auto" w:fill="F3F3F3"/>
          </w:tcPr>
          <w:p>
            <w:pPr>
              <w:ind w:left="1160"/>
              <w:spacing w:after="0"/>
              <w:rPr>
                <w:sz w:val="20"/>
                <w:szCs w:val="20"/>
                <w:color w:val="auto"/>
              </w:rPr>
            </w:pPr>
            <w:r>
              <w:rPr>
                <w:rFonts w:ascii="Arial" w:cs="Arial" w:eastAsia="Arial" w:hAnsi="Arial"/>
                <w:sz w:val="17"/>
                <w:szCs w:val="17"/>
                <w:color w:val="auto"/>
              </w:rPr>
              <w:t>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fair value of the performance condition portion of the award was based on the closing price of the Company's common stock on the grant date. If the Company determines that it is probable that the performance condition will be achieved, compensation expense is amortized on a straight-line basis over the 36-month performance period. The Company reevaluates achievement of the performance condition by grant year each reporting period with changes in estimated outcomes accounted for using a cumulative effect adjustment to compensation expense. Compensation expense will be recognized only if the performance condition is met. Employees forfeit unvested restricted stock units upon termination of employment with a corresponding reversal of compensation expense. As of March 31, 2026, the expected payout leverage for the performance condition portion of the award by grant year is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7"/>
                <w:szCs w:val="17"/>
                <w:b w:val="1"/>
                <w:bCs w:val="1"/>
                <w:color w:val="auto"/>
              </w:rPr>
              <w:t>Expected Payout</w:t>
            </w:r>
          </w:p>
        </w:tc>
      </w:tr>
      <w:tr>
        <w:trPr>
          <w:trHeight w:val="236"/>
        </w:trPr>
        <w:tc>
          <w:tcPr>
            <w:tcW w:w="8480" w:type="dxa"/>
            <w:vAlign w:val="bottom"/>
            <w:gridSpan w:val="2"/>
          </w:tcPr>
          <w:p>
            <w:pPr>
              <w:ind w:left="20"/>
              <w:spacing w:after="0"/>
              <w:rPr>
                <w:sz w:val="20"/>
                <w:szCs w:val="20"/>
                <w:color w:val="auto"/>
              </w:rPr>
            </w:pPr>
            <w:r>
              <w:rPr>
                <w:rFonts w:ascii="Arial" w:cs="Arial" w:eastAsia="Arial" w:hAnsi="Arial"/>
                <w:sz w:val="17"/>
                <w:szCs w:val="17"/>
                <w:b w:val="1"/>
                <w:bCs w:val="1"/>
                <w:color w:val="auto"/>
              </w:rPr>
              <w:t>Grant Year</w:t>
            </w:r>
          </w:p>
        </w:tc>
        <w:tc>
          <w:tcPr>
            <w:tcW w:w="2760" w:type="dxa"/>
            <w:vAlign w:val="bottom"/>
          </w:tcPr>
          <w:p>
            <w:pPr>
              <w:jc w:val="center"/>
              <w:spacing w:after="0"/>
              <w:rPr>
                <w:sz w:val="20"/>
                <w:szCs w:val="20"/>
                <w:color w:val="auto"/>
              </w:rPr>
            </w:pPr>
            <w:r>
              <w:rPr>
                <w:rFonts w:ascii="Arial" w:cs="Arial" w:eastAsia="Arial" w:hAnsi="Arial"/>
                <w:sz w:val="17"/>
                <w:szCs w:val="17"/>
                <w:b w:val="1"/>
                <w:bCs w:val="1"/>
                <w:color w:val="auto"/>
              </w:rPr>
              <w:t>Leverage</w:t>
            </w:r>
          </w:p>
        </w:tc>
      </w:tr>
      <w:tr>
        <w:trPr>
          <w:trHeight w:val="225"/>
        </w:trPr>
        <w:tc>
          <w:tcPr>
            <w:tcW w:w="8380" w:type="dxa"/>
            <w:vAlign w:val="bottom"/>
            <w:tcBorders>
              <w:top w:val="single" w:sz="8" w:color="auto"/>
            </w:tcBorders>
            <w:shd w:val="clear" w:color="auto" w:fill="F3F3F3"/>
          </w:tcPr>
          <w:p>
            <w:pPr>
              <w:ind w:left="20"/>
              <w:spacing w:after="0"/>
              <w:rPr>
                <w:sz w:val="20"/>
                <w:szCs w:val="20"/>
                <w:color w:val="auto"/>
              </w:rPr>
            </w:pPr>
            <w:r>
              <w:rPr>
                <w:rFonts w:ascii="Arial" w:cs="Arial" w:eastAsia="Arial" w:hAnsi="Arial"/>
                <w:sz w:val="17"/>
                <w:szCs w:val="17"/>
                <w:color w:val="auto"/>
              </w:rPr>
              <w:t>2026</w:t>
            </w:r>
          </w:p>
        </w:tc>
        <w:tc>
          <w:tcPr>
            <w:tcW w:w="100" w:type="dxa"/>
            <w:vAlign w:val="bottom"/>
            <w:tcBorders>
              <w:top w:val="single" w:sz="8" w:color="F3F3F3"/>
            </w:tcBorders>
            <w:shd w:val="clear" w:color="auto" w:fill="F3F3F3"/>
          </w:tcPr>
          <w:p>
            <w:pPr>
              <w:spacing w:after="0"/>
              <w:rPr>
                <w:sz w:val="19"/>
                <w:szCs w:val="19"/>
                <w:color w:val="auto"/>
              </w:rPr>
            </w:pPr>
          </w:p>
        </w:tc>
        <w:tc>
          <w:tcPr>
            <w:tcW w:w="2760" w:type="dxa"/>
            <w:vAlign w:val="bottom"/>
            <w:tcBorders>
              <w:top w:val="single" w:sz="8" w:color="auto"/>
            </w:tcBorders>
            <w:shd w:val="clear" w:color="auto" w:fill="F3F3F3"/>
          </w:tcPr>
          <w:p>
            <w:pPr>
              <w:jc w:val="center"/>
              <w:spacing w:after="0"/>
              <w:rPr>
                <w:sz w:val="20"/>
                <w:szCs w:val="20"/>
                <w:color w:val="auto"/>
              </w:rPr>
            </w:pPr>
            <w:r>
              <w:rPr>
                <w:rFonts w:ascii="Arial" w:cs="Arial" w:eastAsia="Arial" w:hAnsi="Arial"/>
                <w:sz w:val="17"/>
                <w:szCs w:val="17"/>
                <w:color w:val="auto"/>
                <w:w w:val="99"/>
              </w:rPr>
              <w:t>75%</w:t>
            </w:r>
          </w:p>
        </w:tc>
      </w:tr>
      <w:tr>
        <w:trPr>
          <w:trHeight w:val="227"/>
        </w:trPr>
        <w:tc>
          <w:tcPr>
            <w:tcW w:w="8380" w:type="dxa"/>
            <w:vAlign w:val="bottom"/>
          </w:tcPr>
          <w:p>
            <w:pPr>
              <w:ind w:left="20"/>
              <w:spacing w:after="0"/>
              <w:rPr>
                <w:sz w:val="20"/>
                <w:szCs w:val="20"/>
                <w:color w:val="auto"/>
              </w:rPr>
            </w:pPr>
            <w:r>
              <w:rPr>
                <w:rFonts w:ascii="Arial" w:cs="Arial" w:eastAsia="Arial" w:hAnsi="Arial"/>
                <w:sz w:val="17"/>
                <w:szCs w:val="17"/>
                <w:color w:val="auto"/>
              </w:rPr>
              <w:t>2025</w:t>
            </w:r>
          </w:p>
        </w:tc>
        <w:tc>
          <w:tcPr>
            <w:tcW w:w="10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7"/>
                <w:szCs w:val="17"/>
                <w:color w:val="auto"/>
                <w:w w:val="99"/>
              </w:rPr>
              <w:t>75%</w:t>
            </w:r>
          </w:p>
        </w:tc>
      </w:tr>
      <w:tr>
        <w:trPr>
          <w:trHeight w:val="232"/>
        </w:trPr>
        <w:tc>
          <w:tcPr>
            <w:tcW w:w="8380" w:type="dxa"/>
            <w:vAlign w:val="bottom"/>
            <w:shd w:val="clear" w:color="auto" w:fill="F3F3F3"/>
          </w:tcPr>
          <w:p>
            <w:pPr>
              <w:ind w:left="20"/>
              <w:spacing w:after="0"/>
              <w:rPr>
                <w:sz w:val="20"/>
                <w:szCs w:val="20"/>
                <w:color w:val="auto"/>
              </w:rPr>
            </w:pPr>
            <w:r>
              <w:rPr>
                <w:rFonts w:ascii="Arial" w:cs="Arial" w:eastAsia="Arial" w:hAnsi="Arial"/>
                <w:sz w:val="17"/>
                <w:szCs w:val="17"/>
                <w:color w:val="auto"/>
              </w:rPr>
              <w:t>2024</w:t>
            </w:r>
          </w:p>
        </w:tc>
        <w:tc>
          <w:tcPr>
            <w:tcW w:w="100" w:type="dxa"/>
            <w:vAlign w:val="bottom"/>
            <w:shd w:val="clear" w:color="auto" w:fill="F3F3F3"/>
          </w:tcPr>
          <w:p>
            <w:pPr>
              <w:spacing w:after="0"/>
              <w:rPr>
                <w:sz w:val="20"/>
                <w:szCs w:val="20"/>
                <w:color w:val="auto"/>
              </w:rPr>
            </w:pPr>
          </w:p>
        </w:tc>
        <w:tc>
          <w:tcPr>
            <w:tcW w:w="2760" w:type="dxa"/>
            <w:vAlign w:val="bottom"/>
            <w:shd w:val="clear" w:color="auto" w:fill="F3F3F3"/>
          </w:tcPr>
          <w:p>
            <w:pPr>
              <w:jc w:val="center"/>
              <w:spacing w:after="0"/>
              <w:rPr>
                <w:sz w:val="20"/>
                <w:szCs w:val="20"/>
                <w:color w:val="auto"/>
              </w:rPr>
            </w:pPr>
            <w:r>
              <w:rPr>
                <w:rFonts w:ascii="Arial" w:cs="Arial" w:eastAsia="Arial" w:hAnsi="Arial"/>
                <w:sz w:val="17"/>
                <w:szCs w:val="17"/>
                <w:color w:val="auto"/>
                <w:w w:val="99"/>
              </w:rPr>
              <w:t>75%</w:t>
            </w:r>
          </w:p>
        </w:tc>
      </w:tr>
    </w:tbl>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market condition must be met for the market condition portion of the award to vest. Compensation expense will be recognized regardless if the market condition is satisfied, and is amortized on a straight-line basis over the 36-month requisite service period (or earlier if age and service conditions are met, as described below). Employees forfeit unvested restricted stock units upon termination of employment with a corresponding reversal of compensation expense. The fair value of the market condition portion of the award was determined on the grant date using a Monte Carlo simulation with the following assumptions: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Risk-Free</w:t>
            </w:r>
          </w:p>
        </w:tc>
        <w:tc>
          <w:tcPr>
            <w:tcW w:w="2740" w:type="dxa"/>
            <w:vAlign w:val="bottom"/>
          </w:tcPr>
          <w:p>
            <w:pPr>
              <w:jc w:val="center"/>
              <w:spacing w:after="0"/>
              <w:rPr>
                <w:sz w:val="20"/>
                <w:szCs w:val="20"/>
                <w:color w:val="auto"/>
              </w:rPr>
            </w:pPr>
            <w:r>
              <w:rPr>
                <w:rFonts w:ascii="Arial" w:cs="Arial" w:eastAsia="Arial" w:hAnsi="Arial"/>
                <w:sz w:val="17"/>
                <w:szCs w:val="17"/>
                <w:b w:val="1"/>
                <w:bCs w:val="1"/>
                <w:color w:val="auto"/>
                <w:w w:val="99"/>
              </w:rPr>
              <w:t>Expected Stock</w:t>
            </w:r>
          </w:p>
        </w:tc>
      </w:tr>
      <w:tr>
        <w:trPr>
          <w:trHeight w:val="236"/>
        </w:trPr>
        <w:tc>
          <w:tcPr>
            <w:tcW w:w="28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8"/>
              </w:rPr>
              <w:t>Grant Year</w:t>
            </w:r>
          </w:p>
        </w:tc>
        <w:tc>
          <w:tcPr>
            <w:tcW w:w="28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7"/>
              </w:rPr>
              <w:t>Vesting Year</w:t>
            </w:r>
          </w:p>
        </w:tc>
        <w:tc>
          <w:tcPr>
            <w:tcW w:w="28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Interest Rate</w:t>
            </w:r>
          </w:p>
        </w:tc>
        <w:tc>
          <w:tcPr>
            <w:tcW w:w="2740" w:type="dxa"/>
            <w:vAlign w:val="bottom"/>
          </w:tcPr>
          <w:p>
            <w:pPr>
              <w:jc w:val="center"/>
              <w:spacing w:after="0"/>
              <w:rPr>
                <w:sz w:val="20"/>
                <w:szCs w:val="20"/>
                <w:color w:val="auto"/>
              </w:rPr>
            </w:pPr>
            <w:r>
              <w:rPr>
                <w:rFonts w:ascii="Arial" w:cs="Arial" w:eastAsia="Arial" w:hAnsi="Arial"/>
                <w:sz w:val="17"/>
                <w:szCs w:val="17"/>
                <w:b w:val="1"/>
                <w:bCs w:val="1"/>
                <w:color w:val="auto"/>
              </w:rPr>
              <w:t>Price Volatility</w:t>
            </w:r>
          </w:p>
        </w:tc>
      </w:tr>
      <w:tr>
        <w:trPr>
          <w:trHeight w:val="225"/>
        </w:trPr>
        <w:tc>
          <w:tcPr>
            <w:tcW w:w="2740" w:type="dxa"/>
            <w:vAlign w:val="bottom"/>
            <w:tcBorders>
              <w:top w:val="single" w:sz="8" w:color="auto"/>
            </w:tcBorders>
            <w:shd w:val="clear" w:color="auto" w:fill="F3F3F3"/>
          </w:tcPr>
          <w:p>
            <w:pPr>
              <w:jc w:val="center"/>
              <w:spacing w:after="0"/>
              <w:rPr>
                <w:sz w:val="20"/>
                <w:szCs w:val="20"/>
                <w:color w:val="auto"/>
              </w:rPr>
            </w:pPr>
            <w:r>
              <w:rPr>
                <w:rFonts w:ascii="Arial" w:cs="Arial" w:eastAsia="Arial" w:hAnsi="Arial"/>
                <w:sz w:val="17"/>
                <w:szCs w:val="17"/>
                <w:color w:val="auto"/>
              </w:rPr>
              <w:t>2026</w:t>
            </w:r>
          </w:p>
        </w:tc>
        <w:tc>
          <w:tcPr>
            <w:tcW w:w="80" w:type="dxa"/>
            <w:vAlign w:val="bottom"/>
            <w:tcBorders>
              <w:top w:val="single" w:sz="8" w:color="F3F3F3"/>
            </w:tcBorders>
            <w:shd w:val="clear" w:color="auto" w:fill="F3F3F3"/>
          </w:tcPr>
          <w:p>
            <w:pPr>
              <w:spacing w:after="0"/>
              <w:rPr>
                <w:sz w:val="19"/>
                <w:szCs w:val="19"/>
                <w:color w:val="auto"/>
              </w:rPr>
            </w:pPr>
          </w:p>
        </w:tc>
        <w:tc>
          <w:tcPr>
            <w:tcW w:w="2740" w:type="dxa"/>
            <w:vAlign w:val="bottom"/>
            <w:tcBorders>
              <w:top w:val="single" w:sz="8" w:color="auto"/>
            </w:tcBorders>
            <w:shd w:val="clear" w:color="auto" w:fill="F3F3F3"/>
          </w:tcPr>
          <w:p>
            <w:pPr>
              <w:jc w:val="center"/>
              <w:spacing w:after="0"/>
              <w:rPr>
                <w:sz w:val="20"/>
                <w:szCs w:val="20"/>
                <w:color w:val="auto"/>
              </w:rPr>
            </w:pPr>
            <w:r>
              <w:rPr>
                <w:rFonts w:ascii="Arial" w:cs="Arial" w:eastAsia="Arial" w:hAnsi="Arial"/>
                <w:sz w:val="17"/>
                <w:szCs w:val="17"/>
                <w:color w:val="auto"/>
              </w:rPr>
              <w:t>2029</w:t>
            </w:r>
          </w:p>
        </w:tc>
        <w:tc>
          <w:tcPr>
            <w:tcW w:w="100" w:type="dxa"/>
            <w:vAlign w:val="bottom"/>
            <w:tcBorders>
              <w:top w:val="single" w:sz="8" w:color="F3F3F3"/>
            </w:tcBorders>
            <w:shd w:val="clear" w:color="auto" w:fill="F3F3F3"/>
          </w:tcPr>
          <w:p>
            <w:pPr>
              <w:spacing w:after="0"/>
              <w:rPr>
                <w:sz w:val="19"/>
                <w:szCs w:val="19"/>
                <w:color w:val="auto"/>
              </w:rPr>
            </w:pPr>
          </w:p>
        </w:tc>
        <w:tc>
          <w:tcPr>
            <w:tcW w:w="2740" w:type="dxa"/>
            <w:vAlign w:val="bottom"/>
            <w:tcBorders>
              <w:top w:val="single" w:sz="8" w:color="auto"/>
            </w:tcBorders>
            <w:shd w:val="clear" w:color="auto" w:fill="F3F3F3"/>
          </w:tcPr>
          <w:p>
            <w:pPr>
              <w:jc w:val="center"/>
              <w:spacing w:after="0"/>
              <w:rPr>
                <w:sz w:val="20"/>
                <w:szCs w:val="20"/>
                <w:color w:val="auto"/>
              </w:rPr>
            </w:pPr>
            <w:r>
              <w:rPr>
                <w:rFonts w:ascii="Arial" w:cs="Arial" w:eastAsia="Arial" w:hAnsi="Arial"/>
                <w:sz w:val="17"/>
                <w:szCs w:val="17"/>
                <w:color w:val="auto"/>
                <w:w w:val="99"/>
              </w:rPr>
              <w:t>3.46%</w:t>
            </w:r>
          </w:p>
        </w:tc>
        <w:tc>
          <w:tcPr>
            <w:tcW w:w="100" w:type="dxa"/>
            <w:vAlign w:val="bottom"/>
            <w:tcBorders>
              <w:top w:val="single" w:sz="8" w:color="F3F3F3"/>
            </w:tcBorders>
            <w:shd w:val="clear" w:color="auto" w:fill="F3F3F3"/>
          </w:tcPr>
          <w:p>
            <w:pPr>
              <w:spacing w:after="0"/>
              <w:rPr>
                <w:sz w:val="19"/>
                <w:szCs w:val="19"/>
                <w:color w:val="auto"/>
              </w:rPr>
            </w:pPr>
          </w:p>
        </w:tc>
        <w:tc>
          <w:tcPr>
            <w:tcW w:w="2740" w:type="dxa"/>
            <w:vAlign w:val="bottom"/>
            <w:tcBorders>
              <w:top w:val="single" w:sz="8" w:color="auto"/>
            </w:tcBorders>
            <w:shd w:val="clear" w:color="auto" w:fill="F3F3F3"/>
          </w:tcPr>
          <w:p>
            <w:pPr>
              <w:jc w:val="center"/>
              <w:spacing w:after="0"/>
              <w:rPr>
                <w:sz w:val="20"/>
                <w:szCs w:val="20"/>
                <w:color w:val="auto"/>
              </w:rPr>
            </w:pPr>
            <w:r>
              <w:rPr>
                <w:rFonts w:ascii="Arial" w:cs="Arial" w:eastAsia="Arial" w:hAnsi="Arial"/>
                <w:sz w:val="17"/>
                <w:szCs w:val="17"/>
                <w:color w:val="auto"/>
              </w:rPr>
              <w:t>33.9%</w:t>
            </w:r>
          </w:p>
        </w:tc>
      </w:tr>
      <w:tr>
        <w:trPr>
          <w:trHeight w:val="227"/>
        </w:trPr>
        <w:tc>
          <w:tcPr>
            <w:tcW w:w="2740" w:type="dxa"/>
            <w:vAlign w:val="bottom"/>
          </w:tcPr>
          <w:p>
            <w:pPr>
              <w:jc w:val="center"/>
              <w:spacing w:after="0"/>
              <w:rPr>
                <w:sz w:val="20"/>
                <w:szCs w:val="20"/>
                <w:color w:val="auto"/>
              </w:rPr>
            </w:pPr>
            <w:r>
              <w:rPr>
                <w:rFonts w:ascii="Arial" w:cs="Arial" w:eastAsia="Arial" w:hAnsi="Arial"/>
                <w:sz w:val="17"/>
                <w:szCs w:val="17"/>
                <w:color w:val="auto"/>
              </w:rPr>
              <w:t>2025</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rPr>
              <w:t>2028</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w w:val="99"/>
              </w:rPr>
              <w:t>4.32%</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rPr>
              <w:t>34.0%</w:t>
            </w:r>
          </w:p>
        </w:tc>
      </w:tr>
      <w:tr>
        <w:trPr>
          <w:trHeight w:val="232"/>
        </w:trPr>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2024</w:t>
            </w:r>
          </w:p>
        </w:tc>
        <w:tc>
          <w:tcPr>
            <w:tcW w:w="80" w:type="dxa"/>
            <w:vAlign w:val="bottom"/>
            <w:shd w:val="clear" w:color="auto" w:fill="F3F3F3"/>
          </w:tcPr>
          <w:p>
            <w:pPr>
              <w:spacing w:after="0"/>
              <w:rPr>
                <w:sz w:val="20"/>
                <w:szCs w:val="20"/>
                <w:color w:val="auto"/>
              </w:rPr>
            </w:pPr>
          </w:p>
        </w:tc>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2027</w:t>
            </w:r>
          </w:p>
        </w:tc>
        <w:tc>
          <w:tcPr>
            <w:tcW w:w="100" w:type="dxa"/>
            <w:vAlign w:val="bottom"/>
            <w:shd w:val="clear" w:color="auto" w:fill="F3F3F3"/>
          </w:tcPr>
          <w:p>
            <w:pPr>
              <w:spacing w:after="0"/>
              <w:rPr>
                <w:sz w:val="20"/>
                <w:szCs w:val="20"/>
                <w:color w:val="auto"/>
              </w:rPr>
            </w:pPr>
          </w:p>
        </w:tc>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w w:val="99"/>
              </w:rPr>
              <w:t>4.38%</w:t>
            </w:r>
          </w:p>
        </w:tc>
        <w:tc>
          <w:tcPr>
            <w:tcW w:w="100" w:type="dxa"/>
            <w:vAlign w:val="bottom"/>
            <w:shd w:val="clear" w:color="auto" w:fill="F3F3F3"/>
          </w:tcPr>
          <w:p>
            <w:pPr>
              <w:spacing w:after="0"/>
              <w:rPr>
                <w:sz w:val="20"/>
                <w:szCs w:val="20"/>
                <w:color w:val="auto"/>
              </w:rPr>
            </w:pPr>
          </w:p>
        </w:tc>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34.3%</w:t>
            </w:r>
          </w:p>
        </w:tc>
      </w:tr>
      <w:tr>
        <w:trPr>
          <w:trHeight w:val="227"/>
        </w:trPr>
        <w:tc>
          <w:tcPr>
            <w:tcW w:w="2740" w:type="dxa"/>
            <w:vAlign w:val="bottom"/>
          </w:tcPr>
          <w:p>
            <w:pPr>
              <w:jc w:val="center"/>
              <w:spacing w:after="0"/>
              <w:rPr>
                <w:sz w:val="20"/>
                <w:szCs w:val="20"/>
                <w:color w:val="auto"/>
              </w:rPr>
            </w:pPr>
            <w:r>
              <w:rPr>
                <w:rFonts w:ascii="Arial" w:cs="Arial" w:eastAsia="Arial" w:hAnsi="Arial"/>
                <w:sz w:val="17"/>
                <w:szCs w:val="17"/>
                <w:color w:val="auto"/>
              </w:rPr>
              <w:t>2023</w:t>
            </w:r>
          </w:p>
        </w:tc>
        <w:tc>
          <w:tcPr>
            <w:tcW w:w="8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rPr>
              <w:t>2026</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w w:val="99"/>
              </w:rPr>
              <w:t>4.35%</w:t>
            </w:r>
          </w:p>
        </w:tc>
        <w:tc>
          <w:tcPr>
            <w:tcW w:w="1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7"/>
                <w:szCs w:val="17"/>
                <w:color w:val="auto"/>
              </w:rPr>
              <w:t>47.5%</w:t>
            </w:r>
          </w:p>
        </w:tc>
      </w:tr>
      <w:tr>
        <w:trPr>
          <w:trHeight w:val="232"/>
        </w:trPr>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2022</w:t>
            </w:r>
          </w:p>
        </w:tc>
        <w:tc>
          <w:tcPr>
            <w:tcW w:w="80" w:type="dxa"/>
            <w:vAlign w:val="bottom"/>
            <w:shd w:val="clear" w:color="auto" w:fill="F3F3F3"/>
          </w:tcPr>
          <w:p>
            <w:pPr>
              <w:spacing w:after="0"/>
              <w:rPr>
                <w:sz w:val="20"/>
                <w:szCs w:val="20"/>
                <w:color w:val="auto"/>
              </w:rPr>
            </w:pPr>
          </w:p>
        </w:tc>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2025</w:t>
            </w:r>
          </w:p>
        </w:tc>
        <w:tc>
          <w:tcPr>
            <w:tcW w:w="100" w:type="dxa"/>
            <w:vAlign w:val="bottom"/>
            <w:shd w:val="clear" w:color="auto" w:fill="F3F3F3"/>
          </w:tcPr>
          <w:p>
            <w:pPr>
              <w:spacing w:after="0"/>
              <w:rPr>
                <w:sz w:val="20"/>
                <w:szCs w:val="20"/>
                <w:color w:val="auto"/>
              </w:rPr>
            </w:pPr>
          </w:p>
        </w:tc>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w w:val="99"/>
              </w:rPr>
              <w:t>1.80%</w:t>
            </w:r>
          </w:p>
        </w:tc>
        <w:tc>
          <w:tcPr>
            <w:tcW w:w="100" w:type="dxa"/>
            <w:vAlign w:val="bottom"/>
            <w:shd w:val="clear" w:color="auto" w:fill="F3F3F3"/>
          </w:tcPr>
          <w:p>
            <w:pPr>
              <w:spacing w:after="0"/>
              <w:rPr>
                <w:sz w:val="20"/>
                <w:szCs w:val="20"/>
                <w:color w:val="auto"/>
              </w:rPr>
            </w:pPr>
          </w:p>
        </w:tc>
        <w:tc>
          <w:tcPr>
            <w:tcW w:w="274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43.8%</w:t>
            </w:r>
          </w:p>
        </w:tc>
      </w:tr>
    </w:tbl>
    <w:p>
      <w:pPr>
        <w:spacing w:after="0" w:line="315"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Because the vesting of the market condition portion of the award depends on the Company's TSR relative to a peer group, the valuation modeled the performance of the peer group as well as the correlation between the Company and the peer group. The expected stock price volatility assumptions were determined using historical volatility, as correlation coefficients can only be developed through historical volatility. The risk-free interest rates were determined based on three-year U.S. Treasury bond yields.</w:t>
      </w:r>
    </w:p>
    <w:p>
      <w:pPr>
        <w:spacing w:after="0" w:line="21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compensation committee of the Company's board of directors included defined retirement provisions in its Leadership Grants. Certain grantees meeting defined age and service requirements will be fully vested in the awards as long as performance and post-termination obligations are met throughout the performance period. These retirement-eligible grants are expensed in the period in which those awards are deemed to be earned, which is the calendar year preceding the February grant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February 15, 2023 and February 15, 2018, the Company granted options to certain executive officers. These options are expensed on a straight-line basis over the required service period of five years, based on the estimated fair value of the award on the respective date of grant. The exercise price per share is equal to the closing price on the respective date of grant plus ten percent. These options are subject to graded vesting, beginning on the third anniversary of the respective grant date, so long as the employee remains continuously employed by the Company. The maximum term of these stock options is ten years.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fair value of these stock option awards was estimated on the respective date of grant using the Black-Scholes option-pricing model with the following assumptions: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February 2023</w:t>
            </w:r>
          </w:p>
        </w:tc>
        <w:tc>
          <w:tcPr>
            <w:tcW w:w="200" w:type="dxa"/>
            <w:vAlign w:val="bottom"/>
          </w:tcPr>
          <w:p>
            <w:pPr>
              <w:spacing w:after="0"/>
              <w:rPr>
                <w:sz w:val="19"/>
                <w:szCs w:val="19"/>
                <w:color w:val="auto"/>
              </w:rPr>
            </w:pPr>
          </w:p>
        </w:tc>
        <w:tc>
          <w:tcPr>
            <w:tcW w:w="1520" w:type="dxa"/>
            <w:vAlign w:val="bottom"/>
          </w:tcPr>
          <w:p>
            <w:pPr>
              <w:jc w:val="right"/>
              <w:ind w:right="195"/>
              <w:spacing w:after="0"/>
              <w:rPr>
                <w:sz w:val="20"/>
                <w:szCs w:val="20"/>
                <w:color w:val="auto"/>
              </w:rPr>
            </w:pPr>
            <w:r>
              <w:rPr>
                <w:rFonts w:ascii="Arial" w:cs="Arial" w:eastAsia="Arial" w:hAnsi="Arial"/>
                <w:sz w:val="17"/>
                <w:szCs w:val="17"/>
                <w:b w:val="1"/>
                <w:bCs w:val="1"/>
                <w:color w:val="auto"/>
              </w:rPr>
              <w:t>February 2018</w:t>
            </w:r>
          </w:p>
        </w:tc>
      </w:tr>
      <w:tr>
        <w:trPr>
          <w:trHeight w:val="236"/>
        </w:trPr>
        <w:tc>
          <w:tcPr>
            <w:tcW w:w="7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6"/>
              </w:rPr>
              <w:t>Grant</w:t>
            </w:r>
          </w:p>
        </w:tc>
        <w:tc>
          <w:tcPr>
            <w:tcW w:w="200" w:type="dxa"/>
            <w:vAlign w:val="bottom"/>
          </w:tcPr>
          <w:p>
            <w:pPr>
              <w:spacing w:after="0"/>
              <w:rPr>
                <w:sz w:val="20"/>
                <w:szCs w:val="20"/>
                <w:color w:val="auto"/>
              </w:rPr>
            </w:pPr>
          </w:p>
        </w:tc>
        <w:tc>
          <w:tcPr>
            <w:tcW w:w="1520" w:type="dxa"/>
            <w:vAlign w:val="bottom"/>
          </w:tcPr>
          <w:p>
            <w:pPr>
              <w:jc w:val="right"/>
              <w:ind w:right="555"/>
              <w:spacing w:after="0"/>
              <w:rPr>
                <w:sz w:val="20"/>
                <w:szCs w:val="20"/>
                <w:color w:val="auto"/>
              </w:rPr>
            </w:pPr>
            <w:r>
              <w:rPr>
                <w:rFonts w:ascii="Arial" w:cs="Arial" w:eastAsia="Arial" w:hAnsi="Arial"/>
                <w:sz w:val="17"/>
                <w:szCs w:val="17"/>
                <w:b w:val="1"/>
                <w:bCs w:val="1"/>
                <w:color w:val="auto"/>
              </w:rPr>
              <w:t>Grant</w:t>
            </w:r>
          </w:p>
        </w:tc>
      </w:tr>
      <w:tr>
        <w:trPr>
          <w:trHeight w:val="225"/>
        </w:trPr>
        <w:tc>
          <w:tcPr>
            <w:tcW w:w="770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color w:val="auto"/>
              </w:rPr>
              <w:t>Risk-free interest rate</w:t>
            </w:r>
          </w:p>
        </w:tc>
        <w:tc>
          <w:tcPr>
            <w:tcW w:w="200" w:type="dxa"/>
            <w:vAlign w:val="bottom"/>
            <w:tcBorders>
              <w:top w:val="single" w:sz="8" w:color="auto"/>
            </w:tcBorders>
            <w:shd w:val="clear" w:color="auto" w:fill="F3F3F3"/>
          </w:tcPr>
          <w:p>
            <w:pPr>
              <w:spacing w:after="0"/>
              <w:rPr>
                <w:sz w:val="19"/>
                <w:szCs w:val="19"/>
                <w:color w:val="auto"/>
              </w:rPr>
            </w:pPr>
          </w:p>
        </w:tc>
        <w:tc>
          <w:tcPr>
            <w:tcW w:w="152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3.94 %</w:t>
            </w:r>
          </w:p>
        </w:tc>
        <w:tc>
          <w:tcPr>
            <w:tcW w:w="100" w:type="dxa"/>
            <w:vAlign w:val="bottom"/>
            <w:tcBorders>
              <w:top w:val="single" w:sz="8" w:color="F3F3F3"/>
            </w:tcBorders>
            <w:shd w:val="clear" w:color="auto" w:fill="F3F3F3"/>
          </w:tcPr>
          <w:p>
            <w:pPr>
              <w:spacing w:after="0"/>
              <w:rPr>
                <w:sz w:val="19"/>
                <w:szCs w:val="19"/>
                <w:color w:val="auto"/>
              </w:rPr>
            </w:pPr>
          </w:p>
        </w:tc>
        <w:tc>
          <w:tcPr>
            <w:tcW w:w="200" w:type="dxa"/>
            <w:vAlign w:val="bottom"/>
            <w:tcBorders>
              <w:top w:val="single" w:sz="8" w:color="auto"/>
            </w:tcBorders>
            <w:shd w:val="clear" w:color="auto" w:fill="F3F3F3"/>
          </w:tcPr>
          <w:p>
            <w:pPr>
              <w:spacing w:after="0"/>
              <w:rPr>
                <w:sz w:val="19"/>
                <w:szCs w:val="19"/>
                <w:color w:val="auto"/>
              </w:rPr>
            </w:pPr>
          </w:p>
        </w:tc>
        <w:tc>
          <w:tcPr>
            <w:tcW w:w="152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2.82 %</w:t>
            </w:r>
          </w:p>
        </w:tc>
      </w:tr>
      <w:tr>
        <w:trPr>
          <w:trHeight w:val="227"/>
        </w:trPr>
        <w:tc>
          <w:tcPr>
            <w:tcW w:w="770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3.21 %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3.22 %</w:t>
            </w:r>
          </w:p>
        </w:tc>
      </w:tr>
      <w:tr>
        <w:trPr>
          <w:trHeight w:val="232"/>
        </w:trPr>
        <w:tc>
          <w:tcPr>
            <w:tcW w:w="7700" w:type="dxa"/>
            <w:vAlign w:val="bottom"/>
            <w:shd w:val="clear" w:color="auto" w:fill="F3F3F3"/>
          </w:tcPr>
          <w:p>
            <w:pPr>
              <w:ind w:left="20"/>
              <w:spacing w:after="0"/>
              <w:rPr>
                <w:sz w:val="20"/>
                <w:szCs w:val="20"/>
                <w:color w:val="auto"/>
              </w:rPr>
            </w:pPr>
            <w:r>
              <w:rPr>
                <w:rFonts w:ascii="Arial" w:cs="Arial" w:eastAsia="Arial" w:hAnsi="Arial"/>
                <w:sz w:val="17"/>
                <w:szCs w:val="17"/>
                <w:color w:val="auto"/>
              </w:rPr>
              <w:t>Expected stock price volatility</w:t>
            </w:r>
          </w:p>
        </w:tc>
        <w:tc>
          <w:tcPr>
            <w:tcW w:w="200" w:type="dxa"/>
            <w:vAlign w:val="bottom"/>
            <w:shd w:val="clear" w:color="auto" w:fill="F3F3F3"/>
          </w:tcPr>
          <w:p>
            <w:pPr>
              <w:spacing w:after="0"/>
              <w:rPr>
                <w:sz w:val="20"/>
                <w:szCs w:val="20"/>
                <w:color w:val="auto"/>
              </w:rPr>
            </w:pPr>
          </w:p>
        </w:tc>
        <w:tc>
          <w:tcPr>
            <w:tcW w:w="15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38.50 %</w:t>
            </w:r>
          </w:p>
        </w:tc>
        <w:tc>
          <w:tcPr>
            <w:tcW w:w="100" w:type="dxa"/>
            <w:vAlign w:val="bottom"/>
            <w:shd w:val="clear" w:color="auto" w:fill="F3F3F3"/>
          </w:tcPr>
          <w:p>
            <w:pPr>
              <w:spacing w:after="0"/>
              <w:rPr>
                <w:sz w:val="20"/>
                <w:szCs w:val="20"/>
                <w:color w:val="auto"/>
              </w:rPr>
            </w:pPr>
          </w:p>
        </w:tc>
        <w:tc>
          <w:tcPr>
            <w:tcW w:w="200" w:type="dxa"/>
            <w:vAlign w:val="bottom"/>
            <w:shd w:val="clear" w:color="auto" w:fill="F3F3F3"/>
          </w:tcPr>
          <w:p>
            <w:pPr>
              <w:spacing w:after="0"/>
              <w:rPr>
                <w:sz w:val="20"/>
                <w:szCs w:val="20"/>
                <w:color w:val="auto"/>
              </w:rPr>
            </w:pPr>
          </w:p>
        </w:tc>
        <w:tc>
          <w:tcPr>
            <w:tcW w:w="15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37.20 %</w:t>
            </w:r>
          </w:p>
        </w:tc>
      </w:tr>
      <w:tr>
        <w:trPr>
          <w:trHeight w:val="227"/>
        </w:trPr>
        <w:tc>
          <w:tcPr>
            <w:tcW w:w="7700" w:type="dxa"/>
            <w:vAlign w:val="bottom"/>
          </w:tcPr>
          <w:p>
            <w:pPr>
              <w:ind w:left="20"/>
              <w:spacing w:after="0"/>
              <w:rPr>
                <w:sz w:val="20"/>
                <w:szCs w:val="20"/>
                <w:color w:val="auto"/>
              </w:rPr>
            </w:pPr>
            <w:r>
              <w:rPr>
                <w:rFonts w:ascii="Arial" w:cs="Arial" w:eastAsia="Arial" w:hAnsi="Arial"/>
                <w:sz w:val="17"/>
                <w:szCs w:val="17"/>
                <w:color w:val="auto"/>
              </w:rPr>
              <w:t>Expected life of options (in years)</w:t>
            </w:r>
          </w:p>
        </w:tc>
        <w:tc>
          <w:tcPr>
            <w:tcW w:w="200" w:type="dxa"/>
            <w:vAlign w:val="bottom"/>
          </w:tcPr>
          <w:p>
            <w:pPr>
              <w:spacing w:after="0"/>
              <w:rPr>
                <w:sz w:val="19"/>
                <w:szCs w:val="19"/>
                <w:color w:val="auto"/>
              </w:rPr>
            </w:pPr>
          </w:p>
        </w:tc>
        <w:tc>
          <w:tcPr>
            <w:tcW w:w="1520" w:type="dxa"/>
            <w:vAlign w:val="bottom"/>
          </w:tcPr>
          <w:p>
            <w:pPr>
              <w:jc w:val="right"/>
              <w:ind w:right="155"/>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ind w:right="155"/>
              <w:spacing w:after="0"/>
              <w:rPr>
                <w:sz w:val="20"/>
                <w:szCs w:val="20"/>
                <w:color w:val="auto"/>
              </w:rPr>
            </w:pPr>
            <w:r>
              <w:rPr>
                <w:rFonts w:ascii="Arial" w:cs="Arial" w:eastAsia="Arial" w:hAnsi="Arial"/>
                <w:sz w:val="17"/>
                <w:szCs w:val="17"/>
                <w:color w:val="auto"/>
              </w:rPr>
              <w:t>7.0</w:t>
            </w:r>
          </w:p>
        </w:tc>
      </w:tr>
      <w:tr>
        <w:trPr>
          <w:trHeight w:val="232"/>
        </w:trPr>
        <w:tc>
          <w:tcPr>
            <w:tcW w:w="7700" w:type="dxa"/>
            <w:vAlign w:val="bottom"/>
            <w:shd w:val="clear" w:color="auto" w:fill="F3F3F3"/>
          </w:tcPr>
          <w:p>
            <w:pPr>
              <w:ind w:left="20"/>
              <w:spacing w:after="0"/>
              <w:rPr>
                <w:sz w:val="20"/>
                <w:szCs w:val="20"/>
                <w:color w:val="auto"/>
              </w:rPr>
            </w:pPr>
            <w:r>
              <w:rPr>
                <w:rFonts w:ascii="Arial" w:cs="Arial" w:eastAsia="Arial" w:hAnsi="Arial"/>
                <w:sz w:val="17"/>
                <w:szCs w:val="17"/>
                <w:color w:val="auto"/>
              </w:rPr>
              <w:t>Fair value of options granted (per share)</w:t>
            </w:r>
          </w:p>
        </w:tc>
        <w:tc>
          <w:tcPr>
            <w:tcW w:w="2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11.68</w:t>
            </w:r>
          </w:p>
        </w:tc>
        <w:tc>
          <w:tcPr>
            <w:tcW w:w="100" w:type="dxa"/>
            <w:vAlign w:val="bottom"/>
            <w:shd w:val="clear" w:color="auto" w:fill="F3F3F3"/>
          </w:tcPr>
          <w:p>
            <w:pPr>
              <w:spacing w:after="0"/>
              <w:rPr>
                <w:sz w:val="20"/>
                <w:szCs w:val="20"/>
                <w:color w:val="auto"/>
              </w:rPr>
            </w:pPr>
          </w:p>
        </w:tc>
        <w:tc>
          <w:tcPr>
            <w:tcW w:w="200" w:type="dxa"/>
            <w:vAlign w:val="bottom"/>
            <w:shd w:val="clear" w:color="auto" w:fill="F3F3F3"/>
          </w:tcPr>
          <w:p>
            <w:pPr>
              <w:jc w:val="right"/>
              <w:ind w:right="15"/>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6.12</w:t>
            </w:r>
          </w:p>
        </w:tc>
      </w:tr>
    </w:tbl>
    <w:p>
      <w:pPr>
        <w:spacing w:after="0" w:line="3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risk-free interest rate assumption was based on the U.S. Treasury bond yield with a maturity equal to the expected life of the options. The dividend yield assumption was based on the assumed dividend payout over the expected life of the options. The expected stock price volatility assumption was determined using historical volatility, as correlation coefficients can only be developed through historical volatility. The expected life of options assumption was determined using the simplified method due to the Company's limited exercise information. The simplified method calculates the expected term as the midpoint of the vesting term and the original contractual term of the options.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Inducement Plans</w:t>
      </w:r>
    </w:p>
    <w:p>
      <w:pPr>
        <w:spacing w:after="0" w:line="17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Inducement plan awards are amortized as compensation expense on a straight-line basis over the requisite service period. Employees forfeit unvested shares upon termination of employment and a reversal of compensation expense is recorded.</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Company established the 2024 Inducement Plan in conjunction with its acquisition of Aviditi Capital Advisors, LLC ("Aviditi Advisors"). On August 23, 2024, the Company granted $11.8 million (171,920 shares) in restricted stock. These restricted shares have both ratable and graded vesting terms with vesting periods of three or five years.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 established the 2022 Inducement Plan in conjunction with its acquisition of DBO Partners Holding LLC, including its subsidiary, DBO Partners LLC. On October 7, 2022, the Company granted $17.4 million (644,120 shares) in restricted stock. These restricted shares are generally subject to ratable vesting over a five-year vesting period.</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established the 2020 Employment Inducement Award Plan (the "2020 Inducement Plan") in conjunction with its acquisition of SOP Holdings, LLC and its subsidiaries, including Sandler O'Neill &amp; Partners, L.P. On January 3, 2020, the Company granted $96.9 million (4,869,692 shares) in restricted stock. These restricted shares had both cliff and graded vesting terms with vesting periods of 18 months, three years or five years (with a weighted average service period of 3.7 years). On April 3, 2020, the Company granted $5.5 million (456,000 shares) in restricted stock under the 2020 Inducement Plan in conjunction with its acquisition of The Valence Group. These restricted shares were subject to graded vesting through April 3, 2025. The Company terminated the 2020 Inducement Plan in April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Activity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stock-based compensation activity:</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center"/>
              <w:ind w:right="275"/>
              <w:spacing w:after="0"/>
              <w:rPr>
                <w:sz w:val="20"/>
                <w:szCs w:val="20"/>
                <w:color w:val="auto"/>
              </w:rPr>
            </w:pPr>
            <w:r>
              <w:rPr>
                <w:rFonts w:ascii="Arial" w:cs="Arial" w:eastAsia="Arial" w:hAnsi="Arial"/>
                <w:sz w:val="17"/>
                <w:szCs w:val="17"/>
                <w:b w:val="1"/>
                <w:bCs w:val="1"/>
                <w:color w:val="auto"/>
              </w:rPr>
              <w:t>Three Months Ended</w:t>
            </w:r>
          </w:p>
        </w:tc>
      </w:tr>
      <w:tr>
        <w:trPr>
          <w:trHeight w:val="236"/>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center"/>
              <w:ind w:left="675"/>
              <w:spacing w:after="0"/>
              <w:rPr>
                <w:sz w:val="20"/>
                <w:szCs w:val="20"/>
                <w:color w:val="auto"/>
              </w:rPr>
            </w:pPr>
            <w:r>
              <w:rPr>
                <w:rFonts w:ascii="Arial" w:cs="Arial" w:eastAsia="Arial" w:hAnsi="Arial"/>
                <w:sz w:val="17"/>
                <w:szCs w:val="17"/>
                <w:b w:val="1"/>
                <w:bCs w:val="1"/>
                <w:color w:val="auto"/>
                <w:w w:val="99"/>
              </w:rPr>
              <w:t>March 31,</w:t>
            </w:r>
          </w:p>
        </w:tc>
        <w:tc>
          <w:tcPr>
            <w:tcW w:w="1120" w:type="dxa"/>
            <w:vAlign w:val="bottom"/>
            <w:tcBorders>
              <w:bottom w:val="single" w:sz="8" w:color="auto"/>
            </w:tcBorders>
          </w:tcPr>
          <w:p>
            <w:pPr>
              <w:spacing w:after="0"/>
              <w:rPr>
                <w:sz w:val="20"/>
                <w:szCs w:val="20"/>
                <w:color w:val="auto"/>
              </w:rPr>
            </w:pPr>
          </w:p>
        </w:tc>
      </w:tr>
      <w:tr>
        <w:trPr>
          <w:trHeight w:val="225"/>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millions)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r>
      <w:tr>
        <w:trPr>
          <w:trHeight w:val="223"/>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color w:val="auto"/>
              </w:rPr>
              <w:t>Stock-based compensation expense</w:t>
            </w:r>
          </w:p>
        </w:tc>
        <w:tc>
          <w:tcPr>
            <w:tcW w:w="360" w:type="dxa"/>
            <w:vAlign w:val="bottom"/>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28.0</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30.8</w:t>
            </w: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color w:val="auto"/>
              </w:rPr>
              <w:t>Forfeitures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2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color w:val="auto"/>
              </w:rPr>
              <w:t>Tax benefit related to stock-based compensation expense</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5.6</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80" w:type="dxa"/>
            <w:vAlign w:val="bottom"/>
            <w:gridSpan w:val="2"/>
          </w:tcPr>
          <w:p>
            <w:pPr>
              <w:spacing w:after="0"/>
              <w:rPr>
                <w:sz w:val="20"/>
                <w:szCs w:val="20"/>
                <w:color w:val="auto"/>
              </w:rPr>
            </w:pPr>
            <w:r>
              <w:rPr>
                <w:rFonts w:ascii="Arial" w:cs="Arial" w:eastAsia="Arial" w:hAnsi="Arial"/>
                <w:sz w:val="17"/>
                <w:szCs w:val="17"/>
                <w:color w:val="auto"/>
              </w:rPr>
              <w:t>The following table summarizes the changes in the Company's unvested restricted stock:</w:t>
            </w: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48"/>
        </w:trPr>
        <w:tc>
          <w:tcPr>
            <w:tcW w:w="7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20" w:type="dxa"/>
            <w:vAlign w:val="bottom"/>
          </w:tcPr>
          <w:p>
            <w:pPr>
              <w:jc w:val="center"/>
              <w:ind w:right="115"/>
              <w:spacing w:after="0"/>
              <w:rPr>
                <w:sz w:val="20"/>
                <w:szCs w:val="20"/>
                <w:color w:val="auto"/>
              </w:rPr>
            </w:pPr>
            <w:r>
              <w:rPr>
                <w:rFonts w:ascii="Arial" w:cs="Arial" w:eastAsia="Arial" w:hAnsi="Arial"/>
                <w:sz w:val="17"/>
                <w:szCs w:val="17"/>
                <w:b w:val="1"/>
                <w:bCs w:val="1"/>
                <w:color w:val="auto"/>
              </w:rPr>
              <w:t>Unvested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Weighted Average</w:t>
            </w:r>
          </w:p>
        </w:tc>
      </w:tr>
      <w:tr>
        <w:trPr>
          <w:trHeight w:val="229"/>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Restricted Stock</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center"/>
              <w:ind w:right="115"/>
              <w:spacing w:after="0"/>
              <w:rPr>
                <w:sz w:val="20"/>
                <w:szCs w:val="20"/>
                <w:color w:val="auto"/>
              </w:rPr>
            </w:pPr>
            <w:r>
              <w:rPr>
                <w:rFonts w:ascii="Arial" w:cs="Arial" w:eastAsia="Arial" w:hAnsi="Arial"/>
                <w:sz w:val="17"/>
                <w:szCs w:val="17"/>
                <w:b w:val="1"/>
                <w:bCs w:val="1"/>
                <w:color w:val="auto"/>
              </w:rPr>
              <w:t>Grant Date</w:t>
            </w:r>
          </w:p>
        </w:tc>
      </w:tr>
      <w:tr>
        <w:trPr>
          <w:trHeight w:val="236"/>
        </w:trPr>
        <w:tc>
          <w:tcPr>
            <w:tcW w:w="7080" w:type="dxa"/>
            <w:vAlign w:val="bottom"/>
            <w:tcBorders>
              <w:bottom w:val="single" w:sz="8" w:color="F3F3F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rPr>
              <w:t>(in Shares)</w:t>
            </w:r>
          </w:p>
        </w:tc>
        <w:tc>
          <w:tcPr>
            <w:tcW w:w="80" w:type="dxa"/>
            <w:vAlign w:val="bottom"/>
            <w:tcBorders>
              <w:bottom w:val="single" w:sz="8" w:color="F3F3F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w w:val="98"/>
              </w:rPr>
              <w:t>Fair Value</w:t>
            </w:r>
          </w:p>
        </w:tc>
      </w:tr>
      <w:tr>
        <w:trPr>
          <w:trHeight w:val="225"/>
        </w:trPr>
        <w:tc>
          <w:tcPr>
            <w:tcW w:w="708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December 31, 2025</w:t>
            </w:r>
          </w:p>
        </w:tc>
        <w:tc>
          <w:tcPr>
            <w:tcW w:w="200" w:type="dxa"/>
            <w:vAlign w:val="bottom"/>
            <w:shd w:val="clear" w:color="auto" w:fill="F3F3F3"/>
          </w:tcPr>
          <w:p>
            <w:pPr>
              <w:spacing w:after="0"/>
              <w:rPr>
                <w:sz w:val="19"/>
                <w:szCs w:val="19"/>
                <w:color w:val="auto"/>
              </w:rPr>
            </w:pPr>
          </w:p>
        </w:tc>
        <w:tc>
          <w:tcPr>
            <w:tcW w:w="182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3,450,544</w:t>
            </w:r>
          </w:p>
        </w:tc>
        <w:tc>
          <w:tcPr>
            <w:tcW w:w="80" w:type="dxa"/>
            <w:vAlign w:val="bottom"/>
            <w:shd w:val="clear" w:color="auto" w:fill="F3F3F3"/>
          </w:tcPr>
          <w:p>
            <w:pPr>
              <w:spacing w:after="0"/>
              <w:rPr>
                <w:sz w:val="19"/>
                <w:szCs w:val="19"/>
                <w:color w:val="auto"/>
              </w:rPr>
            </w:pPr>
          </w:p>
        </w:tc>
        <w:tc>
          <w:tcPr>
            <w:tcW w:w="20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w:t>
            </w:r>
          </w:p>
        </w:tc>
        <w:tc>
          <w:tcPr>
            <w:tcW w:w="18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47.70</w:t>
            </w:r>
          </w:p>
        </w:tc>
      </w:tr>
      <w:tr>
        <w:trPr>
          <w:trHeight w:val="227"/>
        </w:trPr>
        <w:tc>
          <w:tcPr>
            <w:tcW w:w="7280" w:type="dxa"/>
            <w:vAlign w:val="bottom"/>
            <w:gridSpan w:val="2"/>
          </w:tcPr>
          <w:p>
            <w:pPr>
              <w:ind w:left="140"/>
              <w:spacing w:after="0"/>
              <w:rPr>
                <w:sz w:val="20"/>
                <w:szCs w:val="20"/>
                <w:color w:val="auto"/>
              </w:rPr>
            </w:pPr>
            <w:r>
              <w:rPr>
                <w:rFonts w:ascii="Arial" w:cs="Arial" w:eastAsia="Arial" w:hAnsi="Arial"/>
                <w:sz w:val="17"/>
                <w:szCs w:val="17"/>
                <w:color w:val="auto"/>
              </w:rPr>
              <w:t>Granted</w:t>
            </w:r>
          </w:p>
        </w:tc>
        <w:tc>
          <w:tcPr>
            <w:tcW w:w="1820" w:type="dxa"/>
            <w:vAlign w:val="bottom"/>
          </w:tcPr>
          <w:p>
            <w:pPr>
              <w:jc w:val="right"/>
              <w:spacing w:after="0"/>
              <w:rPr>
                <w:sz w:val="20"/>
                <w:szCs w:val="20"/>
                <w:color w:val="auto"/>
              </w:rPr>
            </w:pPr>
            <w:r>
              <w:rPr>
                <w:rFonts w:ascii="Arial" w:cs="Arial" w:eastAsia="Arial" w:hAnsi="Arial"/>
                <w:sz w:val="17"/>
                <w:szCs w:val="17"/>
                <w:color w:val="auto"/>
              </w:rPr>
              <w:t>932,472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80.01</w:t>
            </w:r>
          </w:p>
        </w:tc>
      </w:tr>
      <w:tr>
        <w:trPr>
          <w:trHeight w:val="232"/>
        </w:trPr>
        <w:tc>
          <w:tcPr>
            <w:tcW w:w="7280" w:type="dxa"/>
            <w:vAlign w:val="bottom"/>
            <w:gridSpan w:val="2"/>
            <w:shd w:val="clear" w:color="auto" w:fill="F3F3F3"/>
          </w:tcPr>
          <w:p>
            <w:pPr>
              <w:ind w:left="140"/>
              <w:spacing w:after="0"/>
              <w:rPr>
                <w:sz w:val="20"/>
                <w:szCs w:val="20"/>
                <w:color w:val="auto"/>
              </w:rPr>
            </w:pPr>
            <w:r>
              <w:rPr>
                <w:rFonts w:ascii="Arial" w:cs="Arial" w:eastAsia="Arial" w:hAnsi="Arial"/>
                <w:sz w:val="17"/>
                <w:szCs w:val="17"/>
                <w:color w:val="auto"/>
              </w:rPr>
              <w:t>Vested</w:t>
            </w:r>
          </w:p>
        </w:tc>
        <w:tc>
          <w:tcPr>
            <w:tcW w:w="18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(912,888)</w:t>
            </w:r>
          </w:p>
        </w:tc>
        <w:tc>
          <w:tcPr>
            <w:tcW w:w="80" w:type="dxa"/>
            <w:vAlign w:val="bottom"/>
            <w:shd w:val="clear" w:color="auto" w:fill="F3F3F3"/>
          </w:tcPr>
          <w:p>
            <w:pPr>
              <w:spacing w:after="0"/>
              <w:rPr>
                <w:sz w:val="20"/>
                <w:szCs w:val="20"/>
                <w:color w:val="auto"/>
              </w:rPr>
            </w:pPr>
          </w:p>
        </w:tc>
        <w:tc>
          <w:tcPr>
            <w:tcW w:w="200" w:type="dxa"/>
            <w:vAlign w:val="bottom"/>
            <w:shd w:val="clear" w:color="auto" w:fill="F3F3F3"/>
          </w:tcPr>
          <w:p>
            <w:pPr>
              <w:spacing w:after="0"/>
              <w:rPr>
                <w:sz w:val="20"/>
                <w:szCs w:val="20"/>
                <w:color w:val="auto"/>
              </w:rPr>
            </w:pPr>
          </w:p>
        </w:tc>
        <w:tc>
          <w:tcPr>
            <w:tcW w:w="18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48.59</w:t>
            </w:r>
          </w:p>
        </w:tc>
      </w:tr>
      <w:tr>
        <w:trPr>
          <w:trHeight w:val="227"/>
        </w:trPr>
        <w:tc>
          <w:tcPr>
            <w:tcW w:w="7280" w:type="dxa"/>
            <w:vAlign w:val="bottom"/>
            <w:gridSpan w:val="2"/>
          </w:tcPr>
          <w:p>
            <w:pPr>
              <w:ind w:left="140"/>
              <w:spacing w:after="0"/>
              <w:rPr>
                <w:sz w:val="20"/>
                <w:szCs w:val="20"/>
                <w:color w:val="auto"/>
              </w:rPr>
            </w:pPr>
            <w:r>
              <w:rPr>
                <w:rFonts w:ascii="Arial" w:cs="Arial" w:eastAsia="Arial" w:hAnsi="Arial"/>
                <w:sz w:val="17"/>
                <w:szCs w:val="17"/>
                <w:color w:val="auto"/>
              </w:rPr>
              <w:t>Canceled</w:t>
            </w:r>
          </w:p>
        </w:tc>
        <w:tc>
          <w:tcPr>
            <w:tcW w:w="1820" w:type="dxa"/>
            <w:vAlign w:val="bottom"/>
          </w:tcPr>
          <w:p>
            <w:pPr>
              <w:jc w:val="right"/>
              <w:spacing w:after="0"/>
              <w:rPr>
                <w:sz w:val="20"/>
                <w:szCs w:val="20"/>
                <w:color w:val="auto"/>
              </w:rPr>
            </w:pPr>
            <w:r>
              <w:rPr>
                <w:rFonts w:ascii="Arial" w:cs="Arial" w:eastAsia="Arial" w:hAnsi="Arial"/>
                <w:sz w:val="17"/>
                <w:szCs w:val="17"/>
                <w:color w:val="auto"/>
              </w:rPr>
              <w:t>(3,612)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51.06</w:t>
            </w:r>
          </w:p>
        </w:tc>
      </w:tr>
      <w:tr>
        <w:trPr>
          <w:trHeight w:val="225"/>
        </w:trPr>
        <w:tc>
          <w:tcPr>
            <w:tcW w:w="708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March 31, 2026</w:t>
            </w:r>
          </w:p>
        </w:tc>
        <w:tc>
          <w:tcPr>
            <w:tcW w:w="200" w:type="dxa"/>
            <w:vAlign w:val="bottom"/>
            <w:tcBorders>
              <w:top w:val="single" w:sz="8" w:color="auto"/>
            </w:tcBorders>
            <w:shd w:val="clear" w:color="auto" w:fill="F3F3F3"/>
          </w:tcPr>
          <w:p>
            <w:pPr>
              <w:spacing w:after="0"/>
              <w:rPr>
                <w:sz w:val="19"/>
                <w:szCs w:val="19"/>
                <w:color w:val="auto"/>
              </w:rPr>
            </w:pPr>
          </w:p>
        </w:tc>
        <w:tc>
          <w:tcPr>
            <w:tcW w:w="182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3,466,516</w:t>
            </w:r>
          </w:p>
        </w:tc>
        <w:tc>
          <w:tcPr>
            <w:tcW w:w="280" w:type="dxa"/>
            <w:vAlign w:val="bottom"/>
            <w:tcBorders>
              <w:top w:val="single" w:sz="8" w:color="F3F3F3"/>
            </w:tcBorders>
            <w:gridSpan w:val="2"/>
            <w:shd w:val="clear" w:color="auto" w:fill="F3F3F3"/>
          </w:tcPr>
          <w:p>
            <w:pPr>
              <w:jc w:val="right"/>
              <w:spacing w:after="0"/>
              <w:rPr>
                <w:sz w:val="20"/>
                <w:szCs w:val="20"/>
                <w:color w:val="auto"/>
              </w:rPr>
            </w:pPr>
            <w:r>
              <w:rPr>
                <w:rFonts w:ascii="Arial" w:cs="Arial" w:eastAsia="Arial" w:hAnsi="Arial"/>
                <w:sz w:val="17"/>
                <w:szCs w:val="17"/>
                <w:b w:val="1"/>
                <w:bCs w:val="1"/>
                <w:color w:val="auto"/>
              </w:rPr>
              <w:t>$</w:t>
            </w:r>
          </w:p>
        </w:tc>
        <w:tc>
          <w:tcPr>
            <w:tcW w:w="1840" w:type="dxa"/>
            <w:vAlign w:val="bottom"/>
            <w:tcBorders>
              <w:top w:val="single" w:sz="8" w:color="F3F3F3"/>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56.15</w:t>
            </w:r>
          </w:p>
        </w:tc>
      </w:tr>
      <w:tr>
        <w:trPr>
          <w:trHeight w:val="540"/>
        </w:trPr>
        <w:tc>
          <w:tcPr>
            <w:tcW w:w="7280" w:type="dxa"/>
            <w:vAlign w:val="bottom"/>
            <w:gridSpan w:val="2"/>
          </w:tcPr>
          <w:p>
            <w:pPr>
              <w:spacing w:after="0"/>
              <w:rPr>
                <w:sz w:val="20"/>
                <w:szCs w:val="20"/>
                <w:color w:val="auto"/>
              </w:rPr>
            </w:pPr>
            <w:r>
              <w:rPr>
                <w:rFonts w:ascii="Arial" w:cs="Arial" w:eastAsia="Arial" w:hAnsi="Arial"/>
                <w:sz w:val="17"/>
                <w:szCs w:val="17"/>
                <w:color w:val="auto"/>
              </w:rPr>
              <w:t>The following table summarizes the changes in the Company's unvested restricted stock units:</w:t>
            </w:r>
          </w:p>
        </w:tc>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42"/>
        </w:trPr>
        <w:tc>
          <w:tcPr>
            <w:tcW w:w="7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tcPr>
          <w:p>
            <w:pPr>
              <w:jc w:val="center"/>
              <w:ind w:right="115"/>
              <w:spacing w:after="0"/>
              <w:rPr>
                <w:sz w:val="20"/>
                <w:szCs w:val="20"/>
                <w:color w:val="auto"/>
              </w:rPr>
            </w:pPr>
            <w:r>
              <w:rPr>
                <w:rFonts w:ascii="Arial" w:cs="Arial" w:eastAsia="Arial" w:hAnsi="Arial"/>
                <w:sz w:val="17"/>
                <w:szCs w:val="17"/>
                <w:b w:val="1"/>
                <w:bCs w:val="1"/>
                <w:color w:val="auto"/>
              </w:rPr>
              <w:t>Unvested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Weighted Average</w:t>
            </w:r>
          </w:p>
        </w:tc>
      </w:tr>
      <w:tr>
        <w:trPr>
          <w:trHeight w:val="229"/>
        </w:trPr>
        <w:tc>
          <w:tcPr>
            <w:tcW w:w="7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jc w:val="center"/>
              <w:ind w:right="135"/>
              <w:spacing w:after="0"/>
              <w:rPr>
                <w:sz w:val="20"/>
                <w:szCs w:val="20"/>
                <w:color w:val="auto"/>
              </w:rPr>
            </w:pPr>
            <w:r>
              <w:rPr>
                <w:rFonts w:ascii="Arial" w:cs="Arial" w:eastAsia="Arial" w:hAnsi="Arial"/>
                <w:sz w:val="17"/>
                <w:szCs w:val="17"/>
                <w:b w:val="1"/>
                <w:bCs w:val="1"/>
                <w:color w:val="auto"/>
              </w:rPr>
              <w:t>Restricted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center"/>
              <w:ind w:right="115"/>
              <w:spacing w:after="0"/>
              <w:rPr>
                <w:sz w:val="20"/>
                <w:szCs w:val="20"/>
                <w:color w:val="auto"/>
              </w:rPr>
            </w:pPr>
            <w:r>
              <w:rPr>
                <w:rFonts w:ascii="Arial" w:cs="Arial" w:eastAsia="Arial" w:hAnsi="Arial"/>
                <w:sz w:val="17"/>
                <w:szCs w:val="17"/>
                <w:b w:val="1"/>
                <w:bCs w:val="1"/>
                <w:color w:val="auto"/>
              </w:rPr>
              <w:t>Grant Date</w:t>
            </w:r>
          </w:p>
        </w:tc>
      </w:tr>
      <w:tr>
        <w:trPr>
          <w:trHeight w:val="236"/>
        </w:trPr>
        <w:tc>
          <w:tcPr>
            <w:tcW w:w="7080" w:type="dxa"/>
            <w:vAlign w:val="bottom"/>
            <w:tcBorders>
              <w:bottom w:val="single" w:sz="8" w:color="F3F3F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rPr>
              <w:t>Stock Units</w:t>
            </w:r>
          </w:p>
        </w:tc>
        <w:tc>
          <w:tcPr>
            <w:tcW w:w="80" w:type="dxa"/>
            <w:vAlign w:val="bottom"/>
            <w:tcBorders>
              <w:bottom w:val="single" w:sz="8" w:color="F3F3F3"/>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98"/>
              </w:rPr>
              <w:t>Fair Value</w:t>
            </w:r>
          </w:p>
        </w:tc>
      </w:tr>
      <w:tr>
        <w:trPr>
          <w:trHeight w:val="225"/>
        </w:trPr>
        <w:tc>
          <w:tcPr>
            <w:tcW w:w="708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December 31, 2025</w:t>
            </w:r>
          </w:p>
        </w:tc>
        <w:tc>
          <w:tcPr>
            <w:tcW w:w="200" w:type="dxa"/>
            <w:vAlign w:val="bottom"/>
            <w:shd w:val="clear" w:color="auto" w:fill="F3F3F3"/>
          </w:tcPr>
          <w:p>
            <w:pPr>
              <w:spacing w:after="0"/>
              <w:rPr>
                <w:sz w:val="19"/>
                <w:szCs w:val="19"/>
                <w:color w:val="auto"/>
              </w:rPr>
            </w:pPr>
          </w:p>
        </w:tc>
        <w:tc>
          <w:tcPr>
            <w:tcW w:w="182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454,740</w:t>
            </w:r>
          </w:p>
        </w:tc>
        <w:tc>
          <w:tcPr>
            <w:tcW w:w="80" w:type="dxa"/>
            <w:vAlign w:val="bottom"/>
            <w:shd w:val="clear" w:color="auto" w:fill="F3F3F3"/>
          </w:tcPr>
          <w:p>
            <w:pPr>
              <w:spacing w:after="0"/>
              <w:rPr>
                <w:sz w:val="19"/>
                <w:szCs w:val="19"/>
                <w:color w:val="auto"/>
              </w:rPr>
            </w:pPr>
          </w:p>
        </w:tc>
        <w:tc>
          <w:tcPr>
            <w:tcW w:w="20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w:t>
            </w:r>
          </w:p>
        </w:tc>
        <w:tc>
          <w:tcPr>
            <w:tcW w:w="18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54.30</w:t>
            </w:r>
          </w:p>
        </w:tc>
      </w:tr>
      <w:tr>
        <w:trPr>
          <w:trHeight w:val="227"/>
        </w:trPr>
        <w:tc>
          <w:tcPr>
            <w:tcW w:w="7280" w:type="dxa"/>
            <w:vAlign w:val="bottom"/>
            <w:gridSpan w:val="2"/>
          </w:tcPr>
          <w:p>
            <w:pPr>
              <w:ind w:left="140"/>
              <w:spacing w:after="0"/>
              <w:rPr>
                <w:sz w:val="20"/>
                <w:szCs w:val="20"/>
                <w:color w:val="auto"/>
              </w:rPr>
            </w:pPr>
            <w:r>
              <w:rPr>
                <w:rFonts w:ascii="Arial" w:cs="Arial" w:eastAsia="Arial" w:hAnsi="Arial"/>
                <w:sz w:val="17"/>
                <w:szCs w:val="17"/>
                <w:color w:val="auto"/>
              </w:rPr>
              <w:t>Granted</w:t>
            </w:r>
          </w:p>
        </w:tc>
        <w:tc>
          <w:tcPr>
            <w:tcW w:w="1820" w:type="dxa"/>
            <w:vAlign w:val="bottom"/>
          </w:tcPr>
          <w:p>
            <w:pPr>
              <w:jc w:val="right"/>
              <w:spacing w:after="0"/>
              <w:rPr>
                <w:sz w:val="20"/>
                <w:szCs w:val="20"/>
                <w:color w:val="auto"/>
              </w:rPr>
            </w:pPr>
            <w:r>
              <w:rPr>
                <w:rFonts w:ascii="Arial" w:cs="Arial" w:eastAsia="Arial" w:hAnsi="Arial"/>
                <w:sz w:val="17"/>
                <w:szCs w:val="17"/>
                <w:color w:val="auto"/>
              </w:rPr>
              <w:t>166,064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77.44</w:t>
            </w:r>
          </w:p>
        </w:tc>
      </w:tr>
      <w:tr>
        <w:trPr>
          <w:trHeight w:val="232"/>
        </w:trPr>
        <w:tc>
          <w:tcPr>
            <w:tcW w:w="7280" w:type="dxa"/>
            <w:vAlign w:val="bottom"/>
            <w:gridSpan w:val="2"/>
            <w:shd w:val="clear" w:color="auto" w:fill="F3F3F3"/>
          </w:tcPr>
          <w:p>
            <w:pPr>
              <w:ind w:left="140"/>
              <w:spacing w:after="0"/>
              <w:rPr>
                <w:sz w:val="20"/>
                <w:szCs w:val="20"/>
                <w:color w:val="auto"/>
              </w:rPr>
            </w:pPr>
            <w:r>
              <w:rPr>
                <w:rFonts w:ascii="Arial" w:cs="Arial" w:eastAsia="Arial" w:hAnsi="Arial"/>
                <w:sz w:val="17"/>
                <w:szCs w:val="17"/>
                <w:color w:val="auto"/>
              </w:rPr>
              <w:t>Vested</w:t>
            </w:r>
          </w:p>
        </w:tc>
        <w:tc>
          <w:tcPr>
            <w:tcW w:w="18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(195,724)</w:t>
            </w:r>
          </w:p>
        </w:tc>
        <w:tc>
          <w:tcPr>
            <w:tcW w:w="80" w:type="dxa"/>
            <w:vAlign w:val="bottom"/>
            <w:shd w:val="clear" w:color="auto" w:fill="F3F3F3"/>
          </w:tcPr>
          <w:p>
            <w:pPr>
              <w:spacing w:after="0"/>
              <w:rPr>
                <w:sz w:val="20"/>
                <w:szCs w:val="20"/>
                <w:color w:val="auto"/>
              </w:rPr>
            </w:pPr>
          </w:p>
        </w:tc>
        <w:tc>
          <w:tcPr>
            <w:tcW w:w="200" w:type="dxa"/>
            <w:vAlign w:val="bottom"/>
            <w:shd w:val="clear" w:color="auto" w:fill="F3F3F3"/>
          </w:tcPr>
          <w:p>
            <w:pPr>
              <w:spacing w:after="0"/>
              <w:rPr>
                <w:sz w:val="20"/>
                <w:szCs w:val="20"/>
                <w:color w:val="auto"/>
              </w:rPr>
            </w:pPr>
          </w:p>
        </w:tc>
        <w:tc>
          <w:tcPr>
            <w:tcW w:w="18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44.44</w:t>
            </w:r>
          </w:p>
        </w:tc>
      </w:tr>
      <w:tr>
        <w:trPr>
          <w:trHeight w:val="227"/>
        </w:trPr>
        <w:tc>
          <w:tcPr>
            <w:tcW w:w="7280" w:type="dxa"/>
            <w:vAlign w:val="bottom"/>
            <w:gridSpan w:val="2"/>
          </w:tcPr>
          <w:p>
            <w:pPr>
              <w:ind w:left="140"/>
              <w:spacing w:after="0"/>
              <w:rPr>
                <w:sz w:val="20"/>
                <w:szCs w:val="20"/>
                <w:color w:val="auto"/>
              </w:rPr>
            </w:pPr>
            <w:r>
              <w:rPr>
                <w:rFonts w:ascii="Arial" w:cs="Arial" w:eastAsia="Arial" w:hAnsi="Arial"/>
                <w:sz w:val="17"/>
                <w:szCs w:val="17"/>
                <w:color w:val="auto"/>
              </w:rPr>
              <w:t>Canceled</w:t>
            </w:r>
          </w:p>
        </w:tc>
        <w:tc>
          <w:tcPr>
            <w:tcW w:w="18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5"/>
        </w:trPr>
        <w:tc>
          <w:tcPr>
            <w:tcW w:w="708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March 31, 2026</w:t>
            </w:r>
          </w:p>
        </w:tc>
        <w:tc>
          <w:tcPr>
            <w:tcW w:w="200" w:type="dxa"/>
            <w:vAlign w:val="bottom"/>
            <w:tcBorders>
              <w:top w:val="single" w:sz="8" w:color="auto"/>
            </w:tcBorders>
            <w:shd w:val="clear" w:color="auto" w:fill="F3F3F3"/>
          </w:tcPr>
          <w:p>
            <w:pPr>
              <w:spacing w:after="0"/>
              <w:rPr>
                <w:sz w:val="19"/>
                <w:szCs w:val="19"/>
                <w:color w:val="auto"/>
              </w:rPr>
            </w:pPr>
          </w:p>
        </w:tc>
        <w:tc>
          <w:tcPr>
            <w:tcW w:w="182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425,080</w:t>
            </w:r>
          </w:p>
        </w:tc>
        <w:tc>
          <w:tcPr>
            <w:tcW w:w="280" w:type="dxa"/>
            <w:vAlign w:val="bottom"/>
            <w:tcBorders>
              <w:top w:val="single" w:sz="8" w:color="F3F3F3"/>
            </w:tcBorders>
            <w:gridSpan w:val="2"/>
            <w:shd w:val="clear" w:color="auto" w:fill="F3F3F3"/>
          </w:tcPr>
          <w:p>
            <w:pPr>
              <w:jc w:val="right"/>
              <w:spacing w:after="0"/>
              <w:rPr>
                <w:sz w:val="20"/>
                <w:szCs w:val="20"/>
                <w:color w:val="auto"/>
              </w:rPr>
            </w:pPr>
            <w:r>
              <w:rPr>
                <w:rFonts w:ascii="Arial" w:cs="Arial" w:eastAsia="Arial" w:hAnsi="Arial"/>
                <w:sz w:val="17"/>
                <w:szCs w:val="17"/>
                <w:b w:val="1"/>
                <w:bCs w:val="1"/>
                <w:color w:val="auto"/>
              </w:rPr>
              <w:t>$</w:t>
            </w:r>
          </w:p>
        </w:tc>
        <w:tc>
          <w:tcPr>
            <w:tcW w:w="1840" w:type="dxa"/>
            <w:vAlign w:val="bottom"/>
            <w:tcBorders>
              <w:top w:val="single" w:sz="8" w:color="F3F3F3"/>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67.88</w:t>
            </w:r>
          </w:p>
        </w:tc>
      </w:tr>
    </w:tbl>
    <w:p>
      <w:pPr>
        <w:spacing w:after="0" w:line="59"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As of March 31, 2026, there was $57.0 million of total unrecognized compensation cost related to restricted stock and restricted stock units expected to be recognized over a weighted average period of 2.6 years.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the Company's outstanding stock options: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9"/>
              </w:rPr>
              <w:t>Weighted Average</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Weighted</w:t>
            </w:r>
          </w:p>
        </w:tc>
        <w:tc>
          <w:tcPr>
            <w:tcW w:w="20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Remaining</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4240" w:type="dxa"/>
            <w:vAlign w:val="bottom"/>
          </w:tcPr>
          <w:p>
            <w:pPr>
              <w:spacing w:after="0"/>
              <w:rPr>
                <w:sz w:val="19"/>
                <w:szCs w:val="19"/>
                <w:color w:val="auto"/>
              </w:rPr>
            </w:pPr>
          </w:p>
        </w:tc>
        <w:tc>
          <w:tcPr>
            <w:tcW w:w="1520" w:type="dxa"/>
            <w:vAlign w:val="bottom"/>
          </w:tcPr>
          <w:p>
            <w:pPr>
              <w:jc w:val="right"/>
              <w:ind w:right="355"/>
              <w:spacing w:after="0"/>
              <w:rPr>
                <w:sz w:val="20"/>
                <w:szCs w:val="20"/>
                <w:color w:val="auto"/>
              </w:rPr>
            </w:pPr>
            <w:r>
              <w:rPr>
                <w:rFonts w:ascii="Arial" w:cs="Arial" w:eastAsia="Arial" w:hAnsi="Arial"/>
                <w:sz w:val="17"/>
                <w:szCs w:val="17"/>
                <w:b w:val="1"/>
                <w:bCs w:val="1"/>
                <w:color w:val="auto"/>
              </w:rPr>
              <w:t>Options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Average</w:t>
            </w:r>
          </w:p>
        </w:tc>
        <w:tc>
          <w:tcPr>
            <w:tcW w:w="20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9"/>
              </w:rPr>
              <w:t>Contractual Term</w:t>
            </w:r>
          </w:p>
        </w:tc>
        <w:tc>
          <w:tcPr>
            <w:tcW w:w="180" w:type="dxa"/>
            <w:vAlign w:val="bottom"/>
          </w:tcPr>
          <w:p>
            <w:pPr>
              <w:spacing w:after="0"/>
              <w:rPr>
                <w:sz w:val="19"/>
                <w:szCs w:val="19"/>
                <w:color w:val="auto"/>
              </w:rPr>
            </w:pPr>
          </w:p>
        </w:tc>
        <w:tc>
          <w:tcPr>
            <w:tcW w:w="1440" w:type="dxa"/>
            <w:vAlign w:val="bottom"/>
          </w:tcPr>
          <w:p>
            <w:pPr>
              <w:jc w:val="right"/>
              <w:ind w:right="295"/>
              <w:spacing w:after="0"/>
              <w:rPr>
                <w:sz w:val="20"/>
                <w:szCs w:val="20"/>
                <w:color w:val="auto"/>
              </w:rPr>
            </w:pPr>
            <w:r>
              <w:rPr>
                <w:rFonts w:ascii="Arial" w:cs="Arial" w:eastAsia="Arial" w:hAnsi="Arial"/>
                <w:sz w:val="17"/>
                <w:szCs w:val="17"/>
                <w:b w:val="1"/>
                <w:bCs w:val="1"/>
                <w:color w:val="auto"/>
              </w:rPr>
              <w:t>Aggregate</w:t>
            </w:r>
          </w:p>
        </w:tc>
      </w:tr>
      <w:tr>
        <w:trPr>
          <w:trHeight w:val="236"/>
        </w:trPr>
        <w:tc>
          <w:tcPr>
            <w:tcW w:w="4240" w:type="dxa"/>
            <w:vAlign w:val="bottom"/>
          </w:tcPr>
          <w:p>
            <w:pPr>
              <w:spacing w:after="0"/>
              <w:rPr>
                <w:sz w:val="20"/>
                <w:szCs w:val="20"/>
                <w:color w:val="auto"/>
              </w:rPr>
            </w:pPr>
          </w:p>
        </w:tc>
        <w:tc>
          <w:tcPr>
            <w:tcW w:w="1520" w:type="dxa"/>
            <w:vAlign w:val="bottom"/>
          </w:tcPr>
          <w:p>
            <w:pPr>
              <w:jc w:val="right"/>
              <w:ind w:right="175"/>
              <w:spacing w:after="0"/>
              <w:rPr>
                <w:sz w:val="20"/>
                <w:szCs w:val="20"/>
                <w:color w:val="auto"/>
              </w:rPr>
            </w:pPr>
            <w:r>
              <w:rPr>
                <w:rFonts w:ascii="Arial" w:cs="Arial" w:eastAsia="Arial" w:hAnsi="Arial"/>
                <w:sz w:val="17"/>
                <w:szCs w:val="17"/>
                <w:b w:val="1"/>
                <w:bCs w:val="1"/>
                <w:color w:val="auto"/>
              </w:rPr>
              <w:t>Outstanding</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Exercise Price</w:t>
            </w:r>
          </w:p>
        </w:tc>
        <w:tc>
          <w:tcPr>
            <w:tcW w:w="20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8"/>
              </w:rPr>
              <w:t>(in Years)</w:t>
            </w:r>
          </w:p>
        </w:tc>
        <w:tc>
          <w:tcPr>
            <w:tcW w:w="180" w:type="dxa"/>
            <w:vAlign w:val="bottom"/>
          </w:tcPr>
          <w:p>
            <w:pPr>
              <w:spacing w:after="0"/>
              <w:rPr>
                <w:sz w:val="20"/>
                <w:szCs w:val="20"/>
                <w:color w:val="auto"/>
              </w:rPr>
            </w:pPr>
          </w:p>
        </w:tc>
        <w:tc>
          <w:tcPr>
            <w:tcW w:w="1440" w:type="dxa"/>
            <w:vAlign w:val="bottom"/>
          </w:tcPr>
          <w:p>
            <w:pPr>
              <w:jc w:val="right"/>
              <w:ind w:right="155"/>
              <w:spacing w:after="0"/>
              <w:rPr>
                <w:sz w:val="20"/>
                <w:szCs w:val="20"/>
                <w:color w:val="auto"/>
              </w:rPr>
            </w:pPr>
            <w:r>
              <w:rPr>
                <w:rFonts w:ascii="Arial" w:cs="Arial" w:eastAsia="Arial" w:hAnsi="Arial"/>
                <w:sz w:val="17"/>
                <w:szCs w:val="17"/>
                <w:b w:val="1"/>
                <w:bCs w:val="1"/>
                <w:color w:val="auto"/>
              </w:rPr>
              <w:t>Intrinsic Value</w:t>
            </w:r>
          </w:p>
        </w:tc>
      </w:tr>
      <w:tr>
        <w:trPr>
          <w:trHeight w:val="225"/>
        </w:trPr>
        <w:tc>
          <w:tcPr>
            <w:tcW w:w="424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December 31, 2025</w:t>
            </w:r>
          </w:p>
        </w:tc>
        <w:tc>
          <w:tcPr>
            <w:tcW w:w="152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423,068</w:t>
            </w:r>
          </w:p>
        </w:tc>
        <w:tc>
          <w:tcPr>
            <w:tcW w:w="100" w:type="dxa"/>
            <w:vAlign w:val="bottom"/>
            <w:tcBorders>
              <w:top w:val="single" w:sz="8" w:color="F3F3F3"/>
            </w:tcBorders>
            <w:shd w:val="clear" w:color="auto" w:fill="F3F3F3"/>
          </w:tcPr>
          <w:p>
            <w:pPr>
              <w:spacing w:after="0"/>
              <w:rPr>
                <w:sz w:val="19"/>
                <w:szCs w:val="19"/>
                <w:color w:val="auto"/>
              </w:rPr>
            </w:pPr>
          </w:p>
        </w:tc>
        <w:tc>
          <w:tcPr>
            <w:tcW w:w="16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w w:val="84"/>
              </w:rPr>
              <w:t>$</w:t>
            </w:r>
          </w:p>
        </w:tc>
        <w:tc>
          <w:tcPr>
            <w:tcW w:w="144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37.47</w:t>
            </w:r>
          </w:p>
        </w:tc>
        <w:tc>
          <w:tcPr>
            <w:tcW w:w="100" w:type="dxa"/>
            <w:vAlign w:val="bottom"/>
            <w:tcBorders>
              <w:top w:val="single" w:sz="8" w:color="F3F3F3"/>
            </w:tcBorders>
            <w:shd w:val="clear" w:color="auto" w:fill="F3F3F3"/>
          </w:tcPr>
          <w:p>
            <w:pPr>
              <w:spacing w:after="0"/>
              <w:rPr>
                <w:sz w:val="19"/>
                <w:szCs w:val="19"/>
                <w:color w:val="auto"/>
              </w:rPr>
            </w:pPr>
          </w:p>
        </w:tc>
        <w:tc>
          <w:tcPr>
            <w:tcW w:w="1960" w:type="dxa"/>
            <w:vAlign w:val="bottom"/>
            <w:tcBorders>
              <w:top w:val="single" w:sz="8" w:color="auto"/>
            </w:tcBorders>
            <w:shd w:val="clear" w:color="auto" w:fill="F3F3F3"/>
          </w:tcPr>
          <w:p>
            <w:pPr>
              <w:jc w:val="center"/>
              <w:spacing w:after="0"/>
              <w:rPr>
                <w:sz w:val="20"/>
                <w:szCs w:val="20"/>
                <w:color w:val="auto"/>
              </w:rPr>
            </w:pPr>
            <w:r>
              <w:rPr>
                <w:rFonts w:ascii="Arial" w:cs="Arial" w:eastAsia="Arial" w:hAnsi="Arial"/>
                <w:sz w:val="17"/>
                <w:szCs w:val="17"/>
                <w:b w:val="1"/>
                <w:bCs w:val="1"/>
                <w:color w:val="auto"/>
              </w:rPr>
              <w:t>5.7</w:t>
            </w:r>
          </w:p>
        </w:tc>
        <w:tc>
          <w:tcPr>
            <w:tcW w:w="80" w:type="dxa"/>
            <w:vAlign w:val="bottom"/>
            <w:tcBorders>
              <w:top w:val="single" w:sz="8" w:color="F3F3F3"/>
            </w:tcBorders>
            <w:shd w:val="clear" w:color="auto" w:fill="F3F3F3"/>
          </w:tcPr>
          <w:p>
            <w:pPr>
              <w:spacing w:after="0"/>
              <w:rPr>
                <w:sz w:val="19"/>
                <w:szCs w:val="19"/>
                <w:color w:val="auto"/>
              </w:rPr>
            </w:pPr>
          </w:p>
        </w:tc>
        <w:tc>
          <w:tcPr>
            <w:tcW w:w="18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20,077,175</w:t>
            </w:r>
          </w:p>
        </w:tc>
      </w:tr>
      <w:tr>
        <w:trPr>
          <w:trHeight w:val="227"/>
        </w:trPr>
        <w:tc>
          <w:tcPr>
            <w:tcW w:w="4240" w:type="dxa"/>
            <w:vAlign w:val="bottom"/>
          </w:tcPr>
          <w:p>
            <w:pPr>
              <w:ind w:left="140"/>
              <w:spacing w:after="0"/>
              <w:rPr>
                <w:sz w:val="20"/>
                <w:szCs w:val="20"/>
                <w:color w:val="auto"/>
              </w:rPr>
            </w:pPr>
            <w:r>
              <w:rPr>
                <w:rFonts w:ascii="Arial" w:cs="Arial" w:eastAsia="Arial" w:hAnsi="Arial"/>
                <w:sz w:val="17"/>
                <w:szCs w:val="17"/>
                <w:color w:val="auto"/>
              </w:rPr>
              <w:t>Granted</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2"/>
        </w:trPr>
        <w:tc>
          <w:tcPr>
            <w:tcW w:w="42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Exercised</w:t>
            </w:r>
          </w:p>
        </w:tc>
        <w:tc>
          <w:tcPr>
            <w:tcW w:w="15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(20,960)</w:t>
            </w:r>
          </w:p>
        </w:tc>
        <w:tc>
          <w:tcPr>
            <w:tcW w:w="10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4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24.75</w:t>
            </w:r>
          </w:p>
        </w:tc>
        <w:tc>
          <w:tcPr>
            <w:tcW w:w="100" w:type="dxa"/>
            <w:vAlign w:val="bottom"/>
            <w:shd w:val="clear" w:color="auto" w:fill="F3F3F3"/>
          </w:tcPr>
          <w:p>
            <w:pPr>
              <w:spacing w:after="0"/>
              <w:rPr>
                <w:sz w:val="20"/>
                <w:szCs w:val="20"/>
                <w:color w:val="auto"/>
              </w:rPr>
            </w:pPr>
          </w:p>
        </w:tc>
        <w:tc>
          <w:tcPr>
            <w:tcW w:w="1960" w:type="dxa"/>
            <w:vAlign w:val="bottom"/>
            <w:shd w:val="clear" w:color="auto" w:fill="F3F3F3"/>
          </w:tcPr>
          <w:p>
            <w:pPr>
              <w:spacing w:after="0"/>
              <w:rPr>
                <w:sz w:val="20"/>
                <w:szCs w:val="20"/>
                <w:color w:val="auto"/>
              </w:rPr>
            </w:pPr>
          </w:p>
        </w:tc>
        <w:tc>
          <w:tcPr>
            <w:tcW w:w="80" w:type="dxa"/>
            <w:vAlign w:val="bottom"/>
            <w:shd w:val="clear" w:color="auto" w:fill="F3F3F3"/>
          </w:tcPr>
          <w:p>
            <w:pPr>
              <w:spacing w:after="0"/>
              <w:rPr>
                <w:sz w:val="20"/>
                <w:szCs w:val="20"/>
                <w:color w:val="auto"/>
              </w:rPr>
            </w:pPr>
          </w:p>
        </w:tc>
        <w:tc>
          <w:tcPr>
            <w:tcW w:w="180" w:type="dxa"/>
            <w:vAlign w:val="bottom"/>
            <w:shd w:val="clear" w:color="auto" w:fill="F3F3F3"/>
          </w:tcPr>
          <w:p>
            <w:pPr>
              <w:spacing w:after="0"/>
              <w:rPr>
                <w:sz w:val="20"/>
                <w:szCs w:val="20"/>
                <w:color w:val="auto"/>
              </w:rPr>
            </w:pPr>
          </w:p>
        </w:tc>
        <w:tc>
          <w:tcPr>
            <w:tcW w:w="14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1,320,453</w:t>
            </w:r>
          </w:p>
        </w:tc>
      </w:tr>
      <w:tr>
        <w:trPr>
          <w:trHeight w:val="227"/>
        </w:trPr>
        <w:tc>
          <w:tcPr>
            <w:tcW w:w="4240" w:type="dxa"/>
            <w:vAlign w:val="bottom"/>
          </w:tcPr>
          <w:p>
            <w:pPr>
              <w:ind w:left="140"/>
              <w:spacing w:after="0"/>
              <w:rPr>
                <w:sz w:val="20"/>
                <w:szCs w:val="20"/>
                <w:color w:val="auto"/>
              </w:rPr>
            </w:pPr>
            <w:r>
              <w:rPr>
                <w:rFonts w:ascii="Arial" w:cs="Arial" w:eastAsia="Arial" w:hAnsi="Arial"/>
                <w:sz w:val="17"/>
                <w:szCs w:val="17"/>
                <w:color w:val="auto"/>
              </w:rPr>
              <w:t>Canceled</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2"/>
        </w:trPr>
        <w:tc>
          <w:tcPr>
            <w:tcW w:w="42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Expired</w:t>
            </w:r>
          </w:p>
        </w:tc>
        <w:tc>
          <w:tcPr>
            <w:tcW w:w="15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F3F3F3"/>
          </w:tcPr>
          <w:p>
            <w:pPr>
              <w:spacing w:after="0"/>
              <w:rPr>
                <w:sz w:val="20"/>
                <w:szCs w:val="20"/>
                <w:color w:val="auto"/>
              </w:rPr>
            </w:pPr>
          </w:p>
        </w:tc>
        <w:tc>
          <w:tcPr>
            <w:tcW w:w="160" w:type="dxa"/>
            <w:vAlign w:val="bottom"/>
            <w:shd w:val="clear" w:color="auto" w:fill="F3F3F3"/>
          </w:tcPr>
          <w:p>
            <w:pPr>
              <w:spacing w:after="0"/>
              <w:rPr>
                <w:sz w:val="20"/>
                <w:szCs w:val="20"/>
                <w:color w:val="auto"/>
              </w:rPr>
            </w:pPr>
          </w:p>
        </w:tc>
        <w:tc>
          <w:tcPr>
            <w:tcW w:w="1540" w:type="dxa"/>
            <w:vAlign w:val="bottom"/>
            <w:gridSpan w:val="2"/>
            <w:shd w:val="clear" w:color="auto" w:fill="F3F3F3"/>
          </w:tcPr>
          <w:p>
            <w:pPr>
              <w:jc w:val="right"/>
              <w:ind w:right="180"/>
              <w:spacing w:after="0"/>
              <w:rPr>
                <w:sz w:val="20"/>
                <w:szCs w:val="20"/>
                <w:color w:val="auto"/>
              </w:rPr>
            </w:pPr>
            <w:r>
              <w:rPr>
                <w:rFonts w:ascii="Arial" w:cs="Arial" w:eastAsia="Arial" w:hAnsi="Arial"/>
                <w:sz w:val="17"/>
                <w:szCs w:val="17"/>
                <w:color w:val="auto"/>
              </w:rPr>
              <w:t>—</w:t>
            </w:r>
          </w:p>
        </w:tc>
        <w:tc>
          <w:tcPr>
            <w:tcW w:w="1960" w:type="dxa"/>
            <w:vAlign w:val="bottom"/>
            <w:shd w:val="clear" w:color="auto" w:fill="F3F3F3"/>
          </w:tcPr>
          <w:p>
            <w:pPr>
              <w:spacing w:after="0"/>
              <w:rPr>
                <w:sz w:val="20"/>
                <w:szCs w:val="20"/>
                <w:color w:val="auto"/>
              </w:rPr>
            </w:pPr>
          </w:p>
        </w:tc>
        <w:tc>
          <w:tcPr>
            <w:tcW w:w="80" w:type="dxa"/>
            <w:vAlign w:val="bottom"/>
            <w:shd w:val="clear" w:color="auto" w:fill="F3F3F3"/>
          </w:tcPr>
          <w:p>
            <w:pPr>
              <w:spacing w:after="0"/>
              <w:rPr>
                <w:sz w:val="20"/>
                <w:szCs w:val="20"/>
                <w:color w:val="auto"/>
              </w:rPr>
            </w:pPr>
          </w:p>
        </w:tc>
        <w:tc>
          <w:tcPr>
            <w:tcW w:w="180" w:type="dxa"/>
            <w:vAlign w:val="bottom"/>
            <w:shd w:val="clear" w:color="auto" w:fill="F3F3F3"/>
          </w:tcPr>
          <w:p>
            <w:pPr>
              <w:spacing w:after="0"/>
              <w:rPr>
                <w:sz w:val="20"/>
                <w:szCs w:val="20"/>
                <w:color w:val="auto"/>
              </w:rPr>
            </w:pPr>
          </w:p>
        </w:tc>
        <w:tc>
          <w:tcPr>
            <w:tcW w:w="1440" w:type="dxa"/>
            <w:vAlign w:val="bottom"/>
            <w:shd w:val="clear" w:color="auto" w:fill="F3F3F3"/>
          </w:tcPr>
          <w:p>
            <w:pPr>
              <w:spacing w:after="0"/>
              <w:rPr>
                <w:sz w:val="20"/>
                <w:szCs w:val="20"/>
                <w:color w:val="auto"/>
              </w:rPr>
            </w:pPr>
          </w:p>
        </w:tc>
      </w:tr>
      <w:tr>
        <w:trPr>
          <w:trHeight w:val="223"/>
        </w:trPr>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March 31, 2026</w:t>
            </w:r>
          </w:p>
        </w:tc>
        <w:tc>
          <w:tcPr>
            <w:tcW w:w="1520" w:type="dxa"/>
            <w:vAlign w:val="bottom"/>
          </w:tcPr>
          <w:p>
            <w:pPr>
              <w:jc w:val="right"/>
              <w:spacing w:after="0"/>
              <w:rPr>
                <w:sz w:val="20"/>
                <w:szCs w:val="20"/>
                <w:color w:val="auto"/>
              </w:rPr>
            </w:pPr>
            <w:r>
              <w:rPr>
                <w:rFonts w:ascii="Arial" w:cs="Arial" w:eastAsia="Arial" w:hAnsi="Arial"/>
                <w:sz w:val="17"/>
                <w:szCs w:val="17"/>
                <w:b w:val="1"/>
                <w:bCs w:val="1"/>
                <w:color w:val="auto"/>
              </w:rPr>
              <w:t>402,108</w:t>
            </w:r>
          </w:p>
        </w:tc>
        <w:tc>
          <w:tcPr>
            <w:tcW w:w="2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38.13</w:t>
            </w:r>
          </w:p>
        </w:tc>
        <w:tc>
          <w:tcPr>
            <w:tcW w:w="10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rPr>
              <w:t>5.6</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7"/>
                <w:szCs w:val="17"/>
                <w:b w:val="1"/>
                <w:bCs w:val="1"/>
                <w:color w:val="auto"/>
              </w:rPr>
              <w:t>15,447,194</w:t>
            </w:r>
          </w:p>
        </w:tc>
      </w:tr>
      <w:tr>
        <w:trPr>
          <w:trHeight w:val="257"/>
        </w:trPr>
        <w:tc>
          <w:tcPr>
            <w:tcW w:w="4240" w:type="dxa"/>
            <w:vAlign w:val="bottom"/>
            <w:shd w:val="clear" w:color="auto" w:fill="F3F3F3"/>
          </w:tcPr>
          <w:p>
            <w:pPr>
              <w:spacing w:after="0"/>
              <w:rPr>
                <w:sz w:val="22"/>
                <w:szCs w:val="22"/>
                <w:color w:val="auto"/>
              </w:rPr>
            </w:pPr>
          </w:p>
        </w:tc>
        <w:tc>
          <w:tcPr>
            <w:tcW w:w="1520" w:type="dxa"/>
            <w:vAlign w:val="bottom"/>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160" w:type="dxa"/>
            <w:vAlign w:val="bottom"/>
            <w:shd w:val="clear" w:color="auto" w:fill="F3F3F3"/>
          </w:tcPr>
          <w:p>
            <w:pPr>
              <w:spacing w:after="0"/>
              <w:rPr>
                <w:sz w:val="22"/>
                <w:szCs w:val="22"/>
                <w:color w:val="auto"/>
              </w:rPr>
            </w:pPr>
          </w:p>
        </w:tc>
        <w:tc>
          <w:tcPr>
            <w:tcW w:w="1440" w:type="dxa"/>
            <w:vAlign w:val="bottom"/>
            <w:shd w:val="clear" w:color="auto" w:fill="F3F3F3"/>
          </w:tcPr>
          <w:p>
            <w:pPr>
              <w:spacing w:after="0"/>
              <w:rPr>
                <w:sz w:val="22"/>
                <w:szCs w:val="22"/>
                <w:color w:val="auto"/>
              </w:rPr>
            </w:pPr>
          </w:p>
        </w:tc>
        <w:tc>
          <w:tcPr>
            <w:tcW w:w="100" w:type="dxa"/>
            <w:vAlign w:val="bottom"/>
            <w:shd w:val="clear" w:color="auto" w:fill="F3F3F3"/>
          </w:tcPr>
          <w:p>
            <w:pPr>
              <w:spacing w:after="0"/>
              <w:rPr>
                <w:sz w:val="22"/>
                <w:szCs w:val="22"/>
                <w:color w:val="auto"/>
              </w:rPr>
            </w:pPr>
          </w:p>
        </w:tc>
        <w:tc>
          <w:tcPr>
            <w:tcW w:w="1960" w:type="dxa"/>
            <w:vAlign w:val="bottom"/>
            <w:shd w:val="clear" w:color="auto" w:fill="F3F3F3"/>
          </w:tcPr>
          <w:p>
            <w:pPr>
              <w:spacing w:after="0"/>
              <w:rPr>
                <w:sz w:val="22"/>
                <w:szCs w:val="22"/>
                <w:color w:val="auto"/>
              </w:rPr>
            </w:pPr>
          </w:p>
        </w:tc>
        <w:tc>
          <w:tcPr>
            <w:tcW w:w="80" w:type="dxa"/>
            <w:vAlign w:val="bottom"/>
            <w:shd w:val="clear" w:color="auto" w:fill="F3F3F3"/>
          </w:tcPr>
          <w:p>
            <w:pPr>
              <w:spacing w:after="0"/>
              <w:rPr>
                <w:sz w:val="22"/>
                <w:szCs w:val="22"/>
                <w:color w:val="auto"/>
              </w:rPr>
            </w:pPr>
          </w:p>
        </w:tc>
        <w:tc>
          <w:tcPr>
            <w:tcW w:w="180" w:type="dxa"/>
            <w:vAlign w:val="bottom"/>
            <w:shd w:val="clear" w:color="auto" w:fill="F3F3F3"/>
          </w:tcPr>
          <w:p>
            <w:pPr>
              <w:spacing w:after="0"/>
              <w:rPr>
                <w:sz w:val="22"/>
                <w:szCs w:val="22"/>
                <w:color w:val="auto"/>
              </w:rPr>
            </w:pPr>
          </w:p>
        </w:tc>
        <w:tc>
          <w:tcPr>
            <w:tcW w:w="1440" w:type="dxa"/>
            <w:vAlign w:val="bottom"/>
            <w:shd w:val="clear" w:color="auto" w:fill="F3F3F3"/>
          </w:tcPr>
          <w:p>
            <w:pPr>
              <w:spacing w:after="0"/>
              <w:rPr>
                <w:sz w:val="22"/>
                <w:szCs w:val="22"/>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7"/>
                <w:szCs w:val="17"/>
                <w:b w:val="1"/>
                <w:bCs w:val="1"/>
                <w:color w:val="auto"/>
              </w:rPr>
              <w:t>Options exercisable at:</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240" w:type="dxa"/>
            <w:vAlign w:val="bottom"/>
            <w:shd w:val="clear" w:color="auto" w:fill="F3F3F3"/>
          </w:tcPr>
          <w:p>
            <w:pPr>
              <w:ind w:left="140"/>
              <w:spacing w:after="0"/>
              <w:rPr>
                <w:sz w:val="20"/>
                <w:szCs w:val="20"/>
                <w:color w:val="auto"/>
              </w:rPr>
            </w:pPr>
            <w:r>
              <w:rPr>
                <w:rFonts w:ascii="Arial" w:cs="Arial" w:eastAsia="Arial" w:hAnsi="Arial"/>
                <w:sz w:val="17"/>
                <w:szCs w:val="17"/>
                <w:b w:val="1"/>
                <w:bCs w:val="1"/>
                <w:color w:val="auto"/>
              </w:rPr>
              <w:t>March 31, 2026</w:t>
            </w:r>
          </w:p>
        </w:tc>
        <w:tc>
          <w:tcPr>
            <w:tcW w:w="15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202,108</w:t>
            </w:r>
          </w:p>
        </w:tc>
        <w:tc>
          <w:tcPr>
            <w:tcW w:w="260" w:type="dxa"/>
            <w:vAlign w:val="bottom"/>
            <w:gridSpan w:val="2"/>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33.63</w:t>
            </w:r>
          </w:p>
        </w:tc>
        <w:tc>
          <w:tcPr>
            <w:tcW w:w="100" w:type="dxa"/>
            <w:vAlign w:val="bottom"/>
            <w:shd w:val="clear" w:color="auto" w:fill="F3F3F3"/>
          </w:tcPr>
          <w:p>
            <w:pPr>
              <w:spacing w:after="0"/>
              <w:rPr>
                <w:sz w:val="19"/>
                <w:szCs w:val="19"/>
                <w:color w:val="auto"/>
              </w:rPr>
            </w:pPr>
          </w:p>
        </w:tc>
        <w:tc>
          <w:tcPr>
            <w:tcW w:w="196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4.4</w:t>
            </w:r>
          </w:p>
        </w:tc>
        <w:tc>
          <w:tcPr>
            <w:tcW w:w="80" w:type="dxa"/>
            <w:vAlign w:val="bottom"/>
            <w:shd w:val="clear" w:color="auto" w:fill="F3F3F3"/>
          </w:tcPr>
          <w:p>
            <w:pPr>
              <w:spacing w:after="0"/>
              <w:rPr>
                <w:sz w:val="19"/>
                <w:szCs w:val="19"/>
                <w:color w:val="auto"/>
              </w:rPr>
            </w:pPr>
          </w:p>
        </w:tc>
        <w:tc>
          <w:tcPr>
            <w:tcW w:w="1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8,675,194</w:t>
            </w:r>
          </w:p>
        </w:tc>
      </w:tr>
    </w:tbl>
    <w:p>
      <w:pPr>
        <w:spacing w:after="0" w:line="302"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of March 31, 2026, there was $1.3 million of unrecognized compensation cost related to stock options expected to be recognized over a weighted average period of 1.9 years. There was no tax benefit recorded as a result of stock option exercises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Company maintains various deferred compensation arrangements for employees as described below.</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Mutual Fund Restricted Share Investment Plan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Mutual Fund Restricted Share ("MFRS") Investment Plan is a fully funded deferred compensation plan which allows eligible employees to receive a portion of their incentive compensation or retention awards in restricted mutual fund shares of investment funds. Compensation expense for MFRS awards is recognized over the period in which the award is deemed to be earned, as discussed below. Forfeitures of MFRS awards are recorded as a reduction of compensation and benefits expense within the consolidated statements of operations.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grants MFRS awards to qualifying employees in February of each year ("Annual MFRS Awards"). Annual MFRS Awards represent a portion of these employees' compensation for performance in the preceding year, similar to the Company's Annual Grants. Annual MFRS Awards vest ratably over three or four years in equal installments. Annual MFRS Awards provide for continued vesting after termination of employment so long as the employee does not violate certain post-termination restrictions set forth in the award agreement or any agreement entered into upon termination. Annual MFRS Awards are owned by employee recipients (subject to the aforementioned vesting restrictions) and as such are not included on the consolidated statements of financial condition.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also grants MFRS awards for retention purposes ("Retention MFRS Awards"). As employees must fulfill service requirements in exchange for rights to these awards, compensation expense is amortized on a straight-line basis over the requisite service period. Retention MFRS Awards have both ratable and graded vesting terms with vesting periods of three to five years. The Company purchased selected mutual funds to economically hedge its obligation related to the Retention MFRS Awards. These amounts are included in investments on the consolidated statements of financial condition. The related compensation liability is included in accrued compensation on the consolidated statements of financial condition. Changes in the fair value of the investments made by the Company are reported in investment income/(loss) and changes in the corresponding compensation liability are reflected as compensation and benefits expense on the consolidated statements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Plan</w:t>
      </w:r>
    </w:p>
    <w:p>
      <w:pPr>
        <w:spacing w:after="0" w:line="17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nonqualified deferred compensation plan is an unfunded plan which allows certain highly compensated employees, at their election, to defer a portion of their compensation. This plan was closed to future deferral elections by participants for performance periods beginning after December 31, 2017. The amounts deferred under this plan are held in a grantor trust. The Company invests, as a principal, in investments to economically hedge its obligation under the nonqualified deferred compensation plan. The investments in the grantor trust consist of mutual funds which are categorized as Level I in the fair value hierarchy. These investments totaled $17.8 million and $19.3 million as of March 31, 2026 and December 31, 2025, respectively, and are included in investments on the consolidated statements of financial condition. A corresponding deferred compensation liability is included in accrued compensation on the consolidated statements of financial condition. The compensation deferred by the employees was expensed in the period earned. Changes in the fair value of the investments made by the Company are reported in investment income/(loss) and changes in the corresponding deferred compensation liability are reflected as compensation and benefits expense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Compensation Arrangements</w:t>
      </w:r>
    </w:p>
    <w:p>
      <w:pPr>
        <w:spacing w:after="0" w:line="179"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In conjunction with the 2025 acquisition of G Squared, additional cash may be earned if certain net revenue targets are achieved. See Note 4 for additional information.</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conjunction with the 2024 acquisition of Aviditi Advisors, additional cash of up to $86.3 million may be earned if certain net revenue targets are achieved during the performance period from August 23, 2024 to December 31, 2028. Certain amounts may be earned by Aviditi Advisors' non-employee equity owners with no service requirements. The Company recorded a liability as of the acquisition date for the fair value of this contingent consideration, which was included in the purchase price. Adjustments to this liability after the acquisition date, if any, will be recorded as non-compensation expense on the consolidated statements of operations. The remaining amounts may be earned by employee owners in exchange for service requirements. Amounts estimated to be payable, if any, will be recorded as compensation expense on the consolidated statements of operations over the respective requisite service period. If earned, amounts will be paid on various dates through the second quarter of 2029.</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conjunction with the 2022 acquisition of Cornerstone Macro, additional cash of up to $27.8 million was available to be earned based on achieving a net revenue target during the performance period from July 1, 2022 to December 31, 2023. Of the total amount, up to $6.0 million was available to be earned by Cornerstone Macro's equity owners with no service requirements. The Company paid the maximum amount of $6.0 million related to this additional cash payment in 2024. The remaining amount may be earned by the equity owners, whom are now employees of the Company, and certain employees in exchange for service requirements. The Company expects $5.2 million will be earned related to these additional cash payments, of which $2.6 million was paid in the second quarter of 2025. The Company expects the remaining $2.6 million will be paid by June 30, 2026 and has accrued $2.1 million related to this additional cash payment. Amounts estimated to be payable will be recorded as compensation expense on the consolidated statements of operations over the requisite service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16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EARNINGS PER SHARE ("EPS")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Basic earnings per common share is computed by dividing net income attributable to Piper Sandler Companies by the weighted average number of common shares outstanding for the period. Diluted earnings per common share is calculated by adjusting the weighted average outstanding shares to assume conversion of all potentially dilutive stock options, restricted stock units and restricted shares. The Company uses the treasury stock method to calculate diluted earnings per common share.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computation of EPS, adjusted to reflect the impact of the Stock Split, is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r>
      <w:tr>
        <w:trPr>
          <w:trHeight w:val="236"/>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5"/>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 except per share data)</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r>
      <w:tr>
        <w:trPr>
          <w:trHeight w:val="223"/>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Net income attributable to Piper Sandler Companies</w:t>
            </w:r>
          </w:p>
        </w:tc>
        <w:tc>
          <w:tcPr>
            <w:tcW w:w="360" w:type="dxa"/>
            <w:vAlign w:val="bottom"/>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65,242</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64,915</w:t>
            </w:r>
          </w:p>
        </w:tc>
      </w:tr>
      <w:tr>
        <w:trPr>
          <w:trHeight w:val="256"/>
        </w:trPr>
        <w:tc>
          <w:tcPr>
            <w:tcW w:w="79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3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Shares for basic and diluted calculations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b w:val="1"/>
                <w:bCs w:val="1"/>
                <w:color w:val="auto"/>
              </w:rPr>
              <w:t>Average shares used in basic computation</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67,841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65,513</w:t>
            </w:r>
          </w:p>
        </w:tc>
      </w:tr>
      <w:tr>
        <w:trPr>
          <w:trHeight w:val="229"/>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Stock options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205</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265</w:t>
            </w:r>
          </w:p>
        </w:tc>
      </w:tr>
      <w:tr>
        <w:trPr>
          <w:trHeight w:val="230"/>
        </w:trPr>
        <w:tc>
          <w:tcPr>
            <w:tcW w:w="7940" w:type="dxa"/>
            <w:vAlign w:val="bottom"/>
          </w:tcPr>
          <w:p>
            <w:pPr>
              <w:ind w:left="240"/>
              <w:spacing w:after="0"/>
              <w:rPr>
                <w:sz w:val="20"/>
                <w:szCs w:val="20"/>
                <w:color w:val="auto"/>
              </w:rPr>
            </w:pPr>
            <w:r>
              <w:rPr>
                <w:rFonts w:ascii="Arial" w:cs="Arial" w:eastAsia="Arial" w:hAnsi="Arial"/>
                <w:sz w:val="17"/>
                <w:szCs w:val="17"/>
                <w:color w:val="auto"/>
              </w:rPr>
              <w:t>Restricted stock units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554</w:t>
            </w:r>
          </w:p>
        </w:tc>
      </w:tr>
      <w:tr>
        <w:trPr>
          <w:trHeight w:val="230"/>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Restricted shares</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2,761</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4,819</w:t>
            </w:r>
          </w:p>
        </w:tc>
      </w:tr>
      <w:tr>
        <w:trPr>
          <w:trHeight w:val="223"/>
        </w:trPr>
        <w:tc>
          <w:tcPr>
            <w:tcW w:w="7940" w:type="dxa"/>
            <w:vAlign w:val="bottom"/>
          </w:tcPr>
          <w:p>
            <w:pPr>
              <w:ind w:left="100"/>
              <w:spacing w:after="0"/>
              <w:rPr>
                <w:sz w:val="20"/>
                <w:szCs w:val="20"/>
                <w:color w:val="auto"/>
              </w:rPr>
            </w:pPr>
            <w:r>
              <w:rPr>
                <w:rFonts w:ascii="Arial" w:cs="Arial" w:eastAsia="Arial" w:hAnsi="Arial"/>
                <w:sz w:val="17"/>
                <w:szCs w:val="17"/>
                <w:b w:val="1"/>
                <w:bCs w:val="1"/>
                <w:color w:val="auto"/>
              </w:rPr>
              <w:t>Average shares used in diluted computation</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71,235</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71,150</w:t>
            </w:r>
          </w:p>
        </w:tc>
      </w:tr>
      <w:tr>
        <w:trPr>
          <w:trHeight w:val="20"/>
        </w:trPr>
        <w:tc>
          <w:tcPr>
            <w:tcW w:w="7940" w:type="dxa"/>
            <w:vAlign w:val="bottom"/>
            <w:tcBorders>
              <w:bottom w:val="single" w:sz="8" w:color="F3F3F3"/>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3F3F3"/>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7940" w:type="dxa"/>
            <w:vAlign w:val="bottom"/>
            <w:shd w:val="clear" w:color="auto" w:fill="F3F3F3"/>
          </w:tcPr>
          <w:p>
            <w:pPr>
              <w:spacing w:after="0"/>
              <w:rPr>
                <w:sz w:val="19"/>
                <w:szCs w:val="19"/>
                <w:color w:val="auto"/>
              </w:rPr>
            </w:pP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Earnings per common share</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Basic</w:t>
            </w:r>
          </w:p>
        </w:tc>
        <w:tc>
          <w:tcPr>
            <w:tcW w:w="360" w:type="dxa"/>
            <w:vAlign w:val="bottom"/>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0.96</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0.99</w:t>
            </w:r>
          </w:p>
        </w:tc>
      </w:tr>
      <w:tr>
        <w:trPr>
          <w:trHeight w:val="235"/>
        </w:trPr>
        <w:tc>
          <w:tcPr>
            <w:tcW w:w="7940" w:type="dxa"/>
            <w:vAlign w:val="bottom"/>
          </w:tcPr>
          <w:p>
            <w:pPr>
              <w:ind w:left="140"/>
              <w:spacing w:after="0"/>
              <w:rPr>
                <w:sz w:val="20"/>
                <w:szCs w:val="20"/>
                <w:color w:val="auto"/>
              </w:rPr>
            </w:pPr>
            <w:r>
              <w:rPr>
                <w:rFonts w:ascii="Arial" w:cs="Arial" w:eastAsia="Arial" w:hAnsi="Arial"/>
                <w:sz w:val="17"/>
                <w:szCs w:val="17"/>
                <w:color w:val="auto"/>
              </w:rPr>
              <w:t>Diluted</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0.92</w:t>
            </w:r>
          </w:p>
        </w:tc>
        <w:tc>
          <w:tcPr>
            <w:tcW w:w="100" w:type="dxa"/>
            <w:vAlign w:val="bottom"/>
          </w:tcPr>
          <w:p>
            <w:pPr>
              <w:spacing w:after="0"/>
              <w:rPr>
                <w:sz w:val="20"/>
                <w:szCs w:val="20"/>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0.91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anti-dilutive effects from stock options and restricted shares were immaterial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3F97B5"/>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Piper Sandler Companies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 (Unaudited)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17 </w:t>
      </w:r>
      <w:r>
        <w:rPr>
          <w:rFonts w:ascii="Arial" w:cs="Arial" w:eastAsia="Arial" w:hAnsi="Arial"/>
          <w:sz w:val="18"/>
          <w:szCs w:val="18"/>
          <w:b w:val="1"/>
          <w:bCs w:val="1"/>
          <w:color w:val="3F97B5"/>
        </w:rPr>
        <w:t>|</w:t>
      </w:r>
      <w:r>
        <w:rPr>
          <w:rFonts w:ascii="Arial" w:cs="Arial" w:eastAsia="Arial" w:hAnsi="Arial"/>
          <w:sz w:val="18"/>
          <w:szCs w:val="18"/>
          <w:b w:val="1"/>
          <w:bCs w:val="1"/>
          <w:color w:val="auto"/>
        </w:rPr>
        <w:t xml:space="preserve"> NET CAPITAL REQUIREMENTS AND OTHER REGULATORY MATTERS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Piper Sandler is registered as a securities broker dealer with the SEC and is a member of various SROs and securities exchanges. The Financial Industry Regulatory Authority, Inc. ("FINRA") serves as Piper Sandler's primary SRO. Piper Sandler is subject to the uniform net capital rule of the SEC and the net capital rule of FINRA. Piper Sandler has elected to use the alternative method permitted by the SEC rule which requires that it maintain minimum net capital of $1.0 million. Advances to affiliates, repayment of subordinated debt, dividend payments and other equity withdrawals by Piper Sandler are subject to certain approvals, notifications and other provisions of SEC and FINRA rules.</w:t>
      </w:r>
    </w:p>
    <w:p>
      <w:pPr>
        <w:spacing w:after="0" w:line="20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At March 31, 2026, net capital calculated under the SEC rule was $276.1 million, and exceeded the minimum net capital required under the SEC rule by $275.1 million.</w:t>
      </w:r>
    </w:p>
    <w:p>
      <w:pPr>
        <w:spacing w:after="0" w:line="19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Company's unsecured revolving credit facility and secured revolving credit facility include covenants requiring Piper Sandler to maintain a minimum regulatory net capital of $120 million. The Company's fully disclosed clearing agreement with Pershing includes a covenant requiring Piper Sandler to maintain excess net capital of $120 million.</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Piper Sandler Ltd., a broker dealer subsidiary registered in the U.K., is subject to the capital requirements of the Prudential Regulation Authority and the Financial Conduct Authority. As of March 31, 2026, Piper Sandler Ltd. was in compliance with the capital requirements of the Prudential Regulation Authority and the Financial Conduct Authority.</w:t>
      </w:r>
    </w:p>
    <w:p>
      <w:pPr>
        <w:spacing w:after="0" w:line="19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Aviditi Capital Advisors Europe GmbH, a European subsidiary, is authorized and regulated by the Federal Financial Supervisory Authority ("BaFin") as a tied agent of AHP Capital Management GmbH, a third-party financial institution.</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Piper Sandler MENA Ltd, an Abu Dhabi Global Market ("ADGM") subsidiary, is authorized and regulated by the ADGM Financial Services Regulatory Authority. As of March 31, 2026, Piper Sandler MENA Ltd was in compliance with the capital requirements of the ADGM Financial Services Regulatory Authority.</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80"/>
        <w:spacing w:after="0" w:line="298" w:lineRule="auto"/>
        <w:rPr>
          <w:sz w:val="20"/>
          <w:szCs w:val="20"/>
          <w:color w:val="auto"/>
        </w:rPr>
      </w:pPr>
      <w:r>
        <w:rPr>
          <w:rFonts w:ascii="Arial" w:cs="Arial" w:eastAsia="Arial" w:hAnsi="Arial"/>
          <w:sz w:val="29"/>
          <w:szCs w:val="29"/>
          <w:b w:val="1"/>
          <w:bCs w:val="1"/>
          <w:color w:val="3F97B5"/>
        </w:rPr>
        <w:t>Item 2. Management's Discussion and Analysis of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Index</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Executive Overview</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r>
      <w:tr>
        <w:trPr>
          <w:trHeight w:val="221"/>
        </w:trPr>
        <w:tc>
          <w:tcPr>
            <w:tcW w:w="8440" w:type="dxa"/>
            <w:vAlign w:val="bottom"/>
          </w:tcPr>
          <w:p>
            <w:pPr>
              <w:ind w:left="20"/>
              <w:spacing w:after="0"/>
              <w:rPr>
                <w:sz w:val="20"/>
                <w:szCs w:val="20"/>
                <w:color w:val="auto"/>
              </w:rPr>
            </w:pPr>
            <w:r>
              <w:rPr>
                <w:rFonts w:ascii="Arial" w:cs="Arial" w:eastAsia="Arial" w:hAnsi="Arial"/>
                <w:sz w:val="17"/>
                <w:szCs w:val="17"/>
                <w:color w:val="auto"/>
              </w:rPr>
              <w:t>Results of Operations for the Three Months Ended March 31, 2026 and 2025</w:t>
            </w:r>
          </w:p>
        </w:tc>
        <w:tc>
          <w:tcPr>
            <w:tcW w:w="280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25"/>
        </w:trPr>
        <w:tc>
          <w:tcPr>
            <w:tcW w:w="8440" w:type="dxa"/>
            <w:vAlign w:val="bottom"/>
          </w:tcPr>
          <w:p>
            <w:pPr>
              <w:ind w:left="240"/>
              <w:spacing w:after="0"/>
              <w:rPr>
                <w:sz w:val="20"/>
                <w:szCs w:val="20"/>
                <w:color w:val="auto"/>
              </w:rPr>
            </w:pPr>
            <w:r>
              <w:rPr>
                <w:rFonts w:ascii="Arial" w:cs="Arial" w:eastAsia="Arial" w:hAnsi="Arial"/>
                <w:sz w:val="17"/>
                <w:szCs w:val="17"/>
                <w:color w:val="auto"/>
              </w:rPr>
              <w:t>Net Revenues</w:t>
            </w:r>
          </w:p>
        </w:tc>
        <w:tc>
          <w:tcPr>
            <w:tcW w:w="28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29"/>
        </w:trPr>
        <w:tc>
          <w:tcPr>
            <w:tcW w:w="8440" w:type="dxa"/>
            <w:vAlign w:val="bottom"/>
          </w:tcPr>
          <w:p>
            <w:pPr>
              <w:ind w:left="240"/>
              <w:spacing w:after="0"/>
              <w:rPr>
                <w:sz w:val="20"/>
                <w:szCs w:val="20"/>
                <w:color w:val="auto"/>
              </w:rPr>
            </w:pPr>
            <w:r>
              <w:rPr>
                <w:rFonts w:ascii="Arial" w:cs="Arial" w:eastAsia="Arial" w:hAnsi="Arial"/>
                <w:sz w:val="17"/>
                <w:szCs w:val="17"/>
                <w:color w:val="auto"/>
              </w:rPr>
              <w:t>Non-Interest Expenses</w:t>
            </w:r>
          </w:p>
        </w:tc>
        <w:tc>
          <w:tcPr>
            <w:tcW w:w="280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30"/>
        </w:trPr>
        <w:tc>
          <w:tcPr>
            <w:tcW w:w="8440" w:type="dxa"/>
            <w:vAlign w:val="bottom"/>
          </w:tcPr>
          <w:p>
            <w:pPr>
              <w:ind w:left="240"/>
              <w:spacing w:after="0"/>
              <w:rPr>
                <w:sz w:val="20"/>
                <w:szCs w:val="20"/>
                <w:color w:val="auto"/>
              </w:rPr>
            </w:pPr>
            <w:r>
              <w:rPr>
                <w:rFonts w:ascii="Arial" w:cs="Arial" w:eastAsia="Arial" w:hAnsi="Arial"/>
                <w:sz w:val="17"/>
                <w:szCs w:val="17"/>
                <w:color w:val="auto"/>
              </w:rPr>
              <w:t>Pre-Tax Margin</w:t>
            </w:r>
          </w:p>
        </w:tc>
        <w:tc>
          <w:tcPr>
            <w:tcW w:w="280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36"/>
        </w:trPr>
        <w:tc>
          <w:tcPr>
            <w:tcW w:w="84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Income Taxes</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227"/>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Explanation and Reconciliation of Non-GAAP Financial Measures</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r>
      <w:tr>
        <w:trPr>
          <w:trHeight w:val="22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Recent Accounting Pronouncements</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2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Critical Accounting Policies and Estimates</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r>
      <w:tr>
        <w:trPr>
          <w:trHeight w:val="217"/>
        </w:trPr>
        <w:tc>
          <w:tcPr>
            <w:tcW w:w="8440" w:type="dxa"/>
            <w:vAlign w:val="bottom"/>
          </w:tcPr>
          <w:p>
            <w:pPr>
              <w:ind w:left="20"/>
              <w:spacing w:after="0"/>
              <w:rPr>
                <w:sz w:val="20"/>
                <w:szCs w:val="20"/>
                <w:color w:val="auto"/>
              </w:rPr>
            </w:pPr>
            <w:r>
              <w:rPr>
                <w:rFonts w:ascii="Arial" w:cs="Arial" w:eastAsia="Arial" w:hAnsi="Arial"/>
                <w:sz w:val="17"/>
                <w:szCs w:val="17"/>
                <w:color w:val="auto"/>
              </w:rPr>
              <w:t>Liquidity, Funding and Capital Resources</w:t>
            </w:r>
          </w:p>
        </w:tc>
        <w:tc>
          <w:tcPr>
            <w:tcW w:w="28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25"/>
        </w:trPr>
        <w:tc>
          <w:tcPr>
            <w:tcW w:w="8440" w:type="dxa"/>
            <w:vAlign w:val="bottom"/>
          </w:tcPr>
          <w:p>
            <w:pPr>
              <w:ind w:left="240"/>
              <w:spacing w:after="0"/>
              <w:rPr>
                <w:sz w:val="20"/>
                <w:szCs w:val="20"/>
                <w:color w:val="auto"/>
              </w:rPr>
            </w:pPr>
            <w:r>
              <w:rPr>
                <w:rFonts w:ascii="Arial" w:cs="Arial" w:eastAsia="Arial" w:hAnsi="Arial"/>
                <w:sz w:val="17"/>
                <w:szCs w:val="17"/>
                <w:color w:val="auto"/>
              </w:rPr>
              <w:t>Common Stock Split</w:t>
            </w:r>
          </w:p>
        </w:tc>
        <w:tc>
          <w:tcPr>
            <w:tcW w:w="28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29"/>
        </w:trPr>
        <w:tc>
          <w:tcPr>
            <w:tcW w:w="8440" w:type="dxa"/>
            <w:vAlign w:val="bottom"/>
          </w:tcPr>
          <w:p>
            <w:pPr>
              <w:ind w:left="240"/>
              <w:spacing w:after="0"/>
              <w:rPr>
                <w:sz w:val="20"/>
                <w:szCs w:val="20"/>
                <w:color w:val="auto"/>
              </w:rPr>
            </w:pPr>
            <w:r>
              <w:rPr>
                <w:rFonts w:ascii="Arial" w:cs="Arial" w:eastAsia="Arial" w:hAnsi="Arial"/>
                <w:sz w:val="17"/>
                <w:szCs w:val="17"/>
                <w:color w:val="auto"/>
              </w:rPr>
              <w:t>Leverage</w:t>
            </w:r>
          </w:p>
        </w:tc>
        <w:tc>
          <w:tcPr>
            <w:tcW w:w="28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0"/>
        </w:trPr>
        <w:tc>
          <w:tcPr>
            <w:tcW w:w="8440" w:type="dxa"/>
            <w:vAlign w:val="bottom"/>
          </w:tcPr>
          <w:p>
            <w:pPr>
              <w:ind w:left="240"/>
              <w:spacing w:after="0"/>
              <w:rPr>
                <w:sz w:val="20"/>
                <w:szCs w:val="20"/>
                <w:color w:val="auto"/>
              </w:rPr>
            </w:pPr>
            <w:r>
              <w:rPr>
                <w:rFonts w:ascii="Arial" w:cs="Arial" w:eastAsia="Arial" w:hAnsi="Arial"/>
                <w:sz w:val="17"/>
                <w:szCs w:val="17"/>
                <w:color w:val="auto"/>
              </w:rPr>
              <w:t>Funding and Capital Resources</w:t>
            </w:r>
          </w:p>
        </w:tc>
        <w:tc>
          <w:tcPr>
            <w:tcW w:w="28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36"/>
        </w:trPr>
        <w:tc>
          <w:tcPr>
            <w:tcW w:w="84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Capital Requirements</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w:t>
            </w:r>
          </w:p>
        </w:tc>
      </w:tr>
      <w:tr>
        <w:trPr>
          <w:trHeight w:val="227"/>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Off-Balance Sheet Arrangements</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r>
      <w:tr>
        <w:trPr>
          <w:trHeight w:val="223"/>
        </w:trPr>
        <w:tc>
          <w:tcPr>
            <w:tcW w:w="84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Risk Management</w:t>
            </w: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r>
      <w:tr>
        <w:trPr>
          <w:trHeight w:val="221"/>
        </w:trPr>
        <w:tc>
          <w:tcPr>
            <w:tcW w:w="8440" w:type="dxa"/>
            <w:vAlign w:val="bottom"/>
          </w:tcPr>
          <w:p>
            <w:pPr>
              <w:ind w:left="20"/>
              <w:spacing w:after="0"/>
              <w:rPr>
                <w:sz w:val="20"/>
                <w:szCs w:val="20"/>
                <w:color w:val="auto"/>
              </w:rPr>
            </w:pPr>
            <w:r>
              <w:rPr>
                <w:rFonts w:ascii="Arial" w:cs="Arial" w:eastAsia="Arial" w:hAnsi="Arial"/>
                <w:sz w:val="17"/>
                <w:szCs w:val="17"/>
                <w:color w:val="auto"/>
              </w:rPr>
              <w:t>Effects of Inflation</w:t>
            </w:r>
          </w:p>
        </w:tc>
        <w:tc>
          <w:tcPr>
            <w:tcW w:w="2800" w:type="dxa"/>
            <w:vAlign w:val="bottom"/>
          </w:tcPr>
          <w:p>
            <w:pPr>
              <w:jc w:val="right"/>
              <w:spacing w:after="0"/>
              <w:rPr>
                <w:sz w:val="20"/>
                <w:szCs w:val="20"/>
                <w:color w:val="auto"/>
              </w:rPr>
            </w:pPr>
            <w:r>
              <w:rPr>
                <w:rFonts w:ascii="Arial" w:cs="Arial" w:eastAsia="Arial" w:hAnsi="Arial"/>
                <w:sz w:val="17"/>
                <w:szCs w:val="17"/>
                <w:color w:val="auto"/>
              </w:rPr>
              <w:t>56</w:t>
            </w: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The following information should be read in conjunction with the accompanying unaudited consolidated financial statements and related notes and exhibits included elsewhere in this Quarterly Report on Form 10-Q.</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Certain statements in this Quarterly Report on Form 10-Q may be considered forward-looking. Statements that are not historical or current facts, including statements about beliefs and expectations, are forward-looking statements. These forward-looking statements include, among other things, statements other than historical information or statements of current conditions and may relate to our future plans and objectives and results, and also may include our belief regarding the effect of various legal proceedings, as set forth under "Legal Proceedings" in Part I, Item 3 of our Annual Report on Form 10-K for the year ended December 31, 2025, as updated in our subsequent reports filed with the Securities and Exchange Commission ("SEC"), and under "Legal Proceedings" in Part II, Item 1 of this Quarterly Report on Form 10-Q. Forward-looking statements involve inherent risks and uncertainties, and important factors could cause actual results to differ materially from those anticipated, including those factors discussed below under "External Factors Impacting Our Business" as well as the factors identified under "Risk Factors" in Part I, Item 1A of our Annual Report on Form 10-K for the year ended December 31, 2025, as updated in our subsequent reports filed with the SEC, and under "Risk Factors" in Part II, Item 1A of this Quarterly Report on Form 10-Q. Forward-looking statements speak only as of the date they are made, and we undertake no obligation to update them in light of new information or future events.</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Part I, Item 2 of this Quarterly Report on Form 10-Q includes financial measures that are not prepared in accordance with United States ("U.S.") generally accepted accounting principles ("GAAP"). Management believes that presenting results and measures on an adjusted, non-GAAP basis in conjunction with the corresponding U.S. GAAP measures provides a more meaningful basis for comparison of its operating results and underlying trends between periods, and enhances the overall understanding of our current financial performance by excluding certain items that may not be indicative of our core operating results. The non-GAAP financial measures should be considered in addition to, not as a substitute for, measures of financial performance prepared in accordance with U.S. GAAP. See "Explanation and Reconciliation of Non-GAAP Financial Measures" for a detailed explanation of the adjustments made to the corresponding U.S. GAAP measures and a reconciliation of U.S. GAAP to adjusted, non-GAAP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business principally consists of providing investment banking and institutional brokerage services to corporations, private equity groups, public entities, non-profit entities and institutional investors in the U.S. and internationally. We operate through one reportable segment in order to maximize the value we provide to clients by leveraging our diversified expertise and broad relationships of the experienced professionals across our company. Refer to our Annual Report on Form 10-K for the year ended December 31, 2025 for a full description of our business, including our business strategy and strategic activities.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17"/>
                <w:szCs w:val="17"/>
                <w:b w:val="1"/>
                <w:bCs w:val="1"/>
                <w:color w:val="auto"/>
              </w:rPr>
              <w:t>Three Months Ended</w:t>
            </w:r>
          </w:p>
        </w:tc>
        <w:tc>
          <w:tcPr>
            <w:tcW w:w="1400" w:type="dxa"/>
            <w:vAlign w:val="bottom"/>
            <w:tcBorders>
              <w:bottom w:val="single" w:sz="8" w:color="auto"/>
            </w:tcBorders>
          </w:tcPr>
          <w:p>
            <w:pPr>
              <w:spacing w:after="0"/>
              <w:rPr>
                <w:sz w:val="20"/>
                <w:szCs w:val="20"/>
                <w:color w:val="auto"/>
              </w:rPr>
            </w:pPr>
          </w:p>
        </w:tc>
      </w:tr>
      <w:tr>
        <w:trPr>
          <w:trHeight w:val="235"/>
        </w:trPr>
        <w:tc>
          <w:tcPr>
            <w:tcW w:w="6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7"/>
                <w:szCs w:val="17"/>
                <w:b w:val="1"/>
                <w:bCs w:val="1"/>
                <w:color w:val="auto"/>
              </w:rPr>
              <w:t>Mar. 31,</w:t>
            </w:r>
          </w:p>
        </w:tc>
        <w:tc>
          <w:tcPr>
            <w:tcW w:w="280" w:type="dxa"/>
            <w:vAlign w:val="bottom"/>
          </w:tcPr>
          <w:p>
            <w:pPr>
              <w:spacing w:after="0"/>
              <w:rPr>
                <w:sz w:val="20"/>
                <w:szCs w:val="20"/>
                <w:color w:val="auto"/>
              </w:rPr>
            </w:pPr>
          </w:p>
        </w:tc>
        <w:tc>
          <w:tcPr>
            <w:tcW w:w="1700" w:type="dxa"/>
            <w:vAlign w:val="bottom"/>
            <w:gridSpan w:val="3"/>
          </w:tcPr>
          <w:p>
            <w:pPr>
              <w:ind w:left="180"/>
              <w:spacing w:after="0"/>
              <w:rPr>
                <w:sz w:val="20"/>
                <w:szCs w:val="20"/>
                <w:color w:val="auto"/>
              </w:rPr>
            </w:pPr>
            <w:r>
              <w:rPr>
                <w:rFonts w:ascii="Arial" w:cs="Arial" w:eastAsia="Arial" w:hAnsi="Arial"/>
                <w:sz w:val="17"/>
                <w:szCs w:val="17"/>
                <w:b w:val="1"/>
                <w:bCs w:val="1"/>
                <w:color w:val="auto"/>
              </w:rPr>
              <w:t>Mar. 31,</w:t>
            </w:r>
          </w:p>
        </w:tc>
        <w:tc>
          <w:tcPr>
            <w:tcW w:w="1400" w:type="dxa"/>
            <w:vAlign w:val="bottom"/>
          </w:tcPr>
          <w:p>
            <w:pPr>
              <w:jc w:val="right"/>
              <w:ind w:right="575"/>
              <w:spacing w:after="0"/>
              <w:rPr>
                <w:sz w:val="20"/>
                <w:szCs w:val="20"/>
                <w:color w:val="auto"/>
              </w:rPr>
            </w:pPr>
            <w:r>
              <w:rPr>
                <w:rFonts w:ascii="Arial" w:cs="Arial" w:eastAsia="Arial" w:hAnsi="Arial"/>
                <w:sz w:val="17"/>
                <w:szCs w:val="17"/>
                <w:b w:val="1"/>
                <w:bCs w:val="1"/>
                <w:color w:val="auto"/>
              </w:rPr>
              <w:t>2026</w:t>
            </w:r>
          </w:p>
        </w:tc>
      </w:tr>
      <w:tr>
        <w:trPr>
          <w:trHeight w:val="258"/>
        </w:trPr>
        <w:tc>
          <w:tcPr>
            <w:tcW w:w="618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 except per share data)</w:t>
            </w:r>
          </w:p>
        </w:tc>
        <w:tc>
          <w:tcPr>
            <w:tcW w:w="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2025</w:t>
            </w:r>
          </w:p>
        </w:tc>
        <w:tc>
          <w:tcPr>
            <w:tcW w:w="80" w:type="dxa"/>
            <w:vAlign w:val="bottom"/>
            <w:tcBorders>
              <w:bottom w:val="single" w:sz="8" w:color="F3F3F3"/>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center"/>
              <w:ind w:right="235"/>
              <w:spacing w:after="0"/>
              <w:rPr>
                <w:sz w:val="20"/>
                <w:szCs w:val="20"/>
                <w:color w:val="auto"/>
              </w:rPr>
            </w:pPr>
            <w:r>
              <w:rPr>
                <w:rFonts w:ascii="Arial" w:cs="Arial" w:eastAsia="Arial" w:hAnsi="Arial"/>
                <w:sz w:val="17"/>
                <w:szCs w:val="17"/>
                <w:b w:val="1"/>
                <w:bCs w:val="1"/>
                <w:color w:val="auto"/>
              </w:rPr>
              <w:t>v2025</w:t>
            </w:r>
          </w:p>
        </w:tc>
      </w:tr>
      <w:tr>
        <w:trPr>
          <w:trHeight w:val="211"/>
        </w:trPr>
        <w:tc>
          <w:tcPr>
            <w:tcW w:w="618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U.S. GAAP</w:t>
            </w:r>
          </w:p>
        </w:tc>
        <w:tc>
          <w:tcPr>
            <w:tcW w:w="300" w:type="dxa"/>
            <w:vAlign w:val="bottom"/>
            <w:shd w:val="clear" w:color="auto" w:fill="F3F3F3"/>
          </w:tcPr>
          <w:p>
            <w:pPr>
              <w:spacing w:after="0"/>
              <w:rPr>
                <w:sz w:val="18"/>
                <w:szCs w:val="18"/>
                <w:color w:val="auto"/>
              </w:rPr>
            </w:pPr>
          </w:p>
        </w:tc>
        <w:tc>
          <w:tcPr>
            <w:tcW w:w="128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280" w:type="dxa"/>
            <w:vAlign w:val="bottom"/>
            <w:shd w:val="clear" w:color="auto" w:fill="F3F3F3"/>
          </w:tcPr>
          <w:p>
            <w:pPr>
              <w:spacing w:after="0"/>
              <w:rPr>
                <w:sz w:val="18"/>
                <w:szCs w:val="18"/>
                <w:color w:val="auto"/>
              </w:rPr>
            </w:pPr>
          </w:p>
        </w:tc>
        <w:tc>
          <w:tcPr>
            <w:tcW w:w="1300" w:type="dxa"/>
            <w:vAlign w:val="bottom"/>
            <w:shd w:val="clear" w:color="auto" w:fill="F3F3F3"/>
          </w:tcPr>
          <w:p>
            <w:pPr>
              <w:spacing w:after="0"/>
              <w:rPr>
                <w:sz w:val="18"/>
                <w:szCs w:val="18"/>
                <w:color w:val="auto"/>
              </w:rPr>
            </w:pPr>
          </w:p>
        </w:tc>
        <w:tc>
          <w:tcPr>
            <w:tcW w:w="80" w:type="dxa"/>
            <w:vAlign w:val="bottom"/>
            <w:shd w:val="clear" w:color="auto" w:fill="F3F3F3"/>
          </w:tcPr>
          <w:p>
            <w:pPr>
              <w:spacing w:after="0"/>
              <w:rPr>
                <w:sz w:val="18"/>
                <w:szCs w:val="18"/>
                <w:color w:val="auto"/>
              </w:rPr>
            </w:pPr>
          </w:p>
        </w:tc>
        <w:tc>
          <w:tcPr>
            <w:tcW w:w="320" w:type="dxa"/>
            <w:vAlign w:val="bottom"/>
            <w:shd w:val="clear" w:color="auto" w:fill="F3F3F3"/>
          </w:tcPr>
          <w:p>
            <w:pPr>
              <w:spacing w:after="0"/>
              <w:rPr>
                <w:sz w:val="18"/>
                <w:szCs w:val="18"/>
                <w:color w:val="auto"/>
              </w:rPr>
            </w:pPr>
          </w:p>
        </w:tc>
        <w:tc>
          <w:tcPr>
            <w:tcW w:w="1400" w:type="dxa"/>
            <w:vAlign w:val="bottom"/>
            <w:shd w:val="clear" w:color="auto" w:fill="F3F3F3"/>
          </w:tcPr>
          <w:p>
            <w:pPr>
              <w:spacing w:after="0"/>
              <w:rPr>
                <w:sz w:val="18"/>
                <w:szCs w:val="18"/>
                <w:color w:val="auto"/>
              </w:rPr>
            </w:pPr>
          </w:p>
        </w:tc>
      </w:tr>
      <w:tr>
        <w:trPr>
          <w:trHeight w:val="230"/>
        </w:trPr>
        <w:tc>
          <w:tcPr>
            <w:tcW w:w="6180" w:type="dxa"/>
            <w:vAlign w:val="bottom"/>
          </w:tcPr>
          <w:p>
            <w:pPr>
              <w:ind w:left="140"/>
              <w:spacing w:after="0"/>
              <w:rPr>
                <w:sz w:val="20"/>
                <w:szCs w:val="20"/>
                <w:color w:val="auto"/>
              </w:rPr>
            </w:pPr>
            <w:r>
              <w:rPr>
                <w:rFonts w:ascii="Arial" w:cs="Arial" w:eastAsia="Arial" w:hAnsi="Arial"/>
                <w:sz w:val="17"/>
                <w:szCs w:val="17"/>
                <w:color w:val="auto"/>
              </w:rPr>
              <w:t>Net revenues</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474,409</w:t>
            </w:r>
          </w:p>
        </w:tc>
        <w:tc>
          <w:tcPr>
            <w:tcW w:w="1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357,272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32.8 %</w:t>
            </w:r>
          </w:p>
        </w:tc>
      </w:tr>
      <w:tr>
        <w:trPr>
          <w:trHeight w:val="229"/>
        </w:trPr>
        <w:tc>
          <w:tcPr>
            <w:tcW w:w="6180" w:type="dxa"/>
            <w:vAlign w:val="bottom"/>
            <w:shd w:val="clear" w:color="auto" w:fill="F3F3F3"/>
          </w:tcPr>
          <w:p>
            <w:pPr>
              <w:ind w:left="140"/>
              <w:spacing w:after="0"/>
              <w:rPr>
                <w:sz w:val="20"/>
                <w:szCs w:val="20"/>
                <w:color w:val="auto"/>
              </w:rPr>
            </w:pPr>
            <w:r>
              <w:rPr>
                <w:rFonts w:ascii="Arial" w:cs="Arial" w:eastAsia="Arial" w:hAnsi="Arial"/>
                <w:sz w:val="17"/>
                <w:szCs w:val="17"/>
                <w:color w:val="auto"/>
              </w:rPr>
              <w:t>Compensation and benefits</w:t>
            </w:r>
          </w:p>
        </w:tc>
        <w:tc>
          <w:tcPr>
            <w:tcW w:w="300" w:type="dxa"/>
            <w:vAlign w:val="bottom"/>
            <w:shd w:val="clear" w:color="auto" w:fill="F3F3F3"/>
          </w:tcPr>
          <w:p>
            <w:pPr>
              <w:spacing w:after="0"/>
              <w:rPr>
                <w:sz w:val="19"/>
                <w:szCs w:val="19"/>
                <w:color w:val="auto"/>
              </w:rPr>
            </w:pPr>
          </w:p>
        </w:tc>
        <w:tc>
          <w:tcPr>
            <w:tcW w:w="128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296,057</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3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248,457</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19.2</w:t>
            </w:r>
          </w:p>
        </w:tc>
      </w:tr>
      <w:tr>
        <w:trPr>
          <w:trHeight w:val="229"/>
        </w:trPr>
        <w:tc>
          <w:tcPr>
            <w:tcW w:w="6180" w:type="dxa"/>
            <w:vAlign w:val="bottom"/>
          </w:tcPr>
          <w:p>
            <w:pPr>
              <w:ind w:left="140"/>
              <w:spacing w:after="0"/>
              <w:rPr>
                <w:sz w:val="20"/>
                <w:szCs w:val="20"/>
                <w:color w:val="auto"/>
              </w:rPr>
            </w:pPr>
            <w:r>
              <w:rPr>
                <w:rFonts w:ascii="Arial" w:cs="Arial" w:eastAsia="Arial" w:hAnsi="Arial"/>
                <w:sz w:val="17"/>
                <w:szCs w:val="17"/>
                <w:color w:val="auto"/>
              </w:rPr>
              <w:t>Non-compensation expenses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90,421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79,382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color w:val="auto"/>
              </w:rPr>
              <w:t>13.9</w:t>
            </w:r>
          </w:p>
        </w:tc>
      </w:tr>
      <w:tr>
        <w:trPr>
          <w:trHeight w:val="230"/>
        </w:trPr>
        <w:tc>
          <w:tcPr>
            <w:tcW w:w="618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Income before income tax expense/(benefit)</w:t>
            </w:r>
          </w:p>
        </w:tc>
        <w:tc>
          <w:tcPr>
            <w:tcW w:w="300" w:type="dxa"/>
            <w:vAlign w:val="bottom"/>
            <w:shd w:val="clear" w:color="auto" w:fill="F3F3F3"/>
          </w:tcPr>
          <w:p>
            <w:pPr>
              <w:spacing w:after="0"/>
              <w:rPr>
                <w:sz w:val="19"/>
                <w:szCs w:val="19"/>
                <w:color w:val="auto"/>
              </w:rPr>
            </w:pPr>
          </w:p>
        </w:tc>
        <w:tc>
          <w:tcPr>
            <w:tcW w:w="128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87,931</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3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29,433</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198.7</w:t>
            </w:r>
          </w:p>
        </w:tc>
      </w:tr>
      <w:tr>
        <w:trPr>
          <w:trHeight w:val="229"/>
        </w:trPr>
        <w:tc>
          <w:tcPr>
            <w:tcW w:w="6180" w:type="dxa"/>
            <w:vAlign w:val="bottom"/>
          </w:tcPr>
          <w:p>
            <w:pPr>
              <w:ind w:left="140"/>
              <w:spacing w:after="0"/>
              <w:rPr>
                <w:sz w:val="20"/>
                <w:szCs w:val="20"/>
                <w:color w:val="auto"/>
              </w:rPr>
            </w:pPr>
            <w:r>
              <w:rPr>
                <w:rFonts w:ascii="Arial" w:cs="Arial" w:eastAsia="Arial" w:hAnsi="Arial"/>
                <w:sz w:val="17"/>
                <w:szCs w:val="17"/>
                <w:color w:val="auto"/>
              </w:rPr>
              <w:t>Income tax expense/(benefit)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19,619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860"/>
              <w:spacing w:after="0"/>
              <w:rPr>
                <w:sz w:val="20"/>
                <w:szCs w:val="20"/>
                <w:color w:val="auto"/>
              </w:rPr>
            </w:pPr>
            <w:r>
              <w:rPr>
                <w:rFonts w:ascii="Arial" w:cs="Arial" w:eastAsia="Arial" w:hAnsi="Arial"/>
                <w:sz w:val="17"/>
                <w:szCs w:val="17"/>
                <w:color w:val="auto"/>
              </w:rPr>
              <w:t>N/M</w:t>
            </w:r>
          </w:p>
        </w:tc>
      </w:tr>
      <w:tr>
        <w:trPr>
          <w:trHeight w:val="229"/>
        </w:trPr>
        <w:tc>
          <w:tcPr>
            <w:tcW w:w="6180" w:type="dxa"/>
            <w:vAlign w:val="bottom"/>
            <w:shd w:val="clear" w:color="auto" w:fill="F3F3F3"/>
          </w:tcPr>
          <w:p>
            <w:pPr>
              <w:ind w:left="140"/>
              <w:spacing w:after="0"/>
              <w:rPr>
                <w:sz w:val="20"/>
                <w:szCs w:val="20"/>
                <w:color w:val="auto"/>
              </w:rPr>
            </w:pPr>
            <w:r>
              <w:rPr>
                <w:rFonts w:ascii="Arial" w:cs="Arial" w:eastAsia="Arial" w:hAnsi="Arial"/>
                <w:sz w:val="17"/>
                <w:szCs w:val="17"/>
                <w:color w:val="auto"/>
              </w:rPr>
              <w:t>Net income attributable to Piper Sandler Companies</w:t>
            </w:r>
          </w:p>
        </w:tc>
        <w:tc>
          <w:tcPr>
            <w:tcW w:w="300" w:type="dxa"/>
            <w:vAlign w:val="bottom"/>
            <w:shd w:val="clear" w:color="auto" w:fill="F3F3F3"/>
          </w:tcPr>
          <w:p>
            <w:pPr>
              <w:spacing w:after="0"/>
              <w:rPr>
                <w:sz w:val="19"/>
                <w:szCs w:val="19"/>
                <w:color w:val="auto"/>
              </w:rPr>
            </w:pPr>
          </w:p>
        </w:tc>
        <w:tc>
          <w:tcPr>
            <w:tcW w:w="128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65,242</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3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64,915</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0.5</w:t>
            </w:r>
          </w:p>
        </w:tc>
      </w:tr>
      <w:tr>
        <w:trPr>
          <w:trHeight w:val="230"/>
        </w:trPr>
        <w:tc>
          <w:tcPr>
            <w:tcW w:w="6180" w:type="dxa"/>
            <w:vAlign w:val="bottom"/>
          </w:tcPr>
          <w:p>
            <w:pPr>
              <w:ind w:left="140"/>
              <w:spacing w:after="0"/>
              <w:rPr>
                <w:sz w:val="20"/>
                <w:szCs w:val="20"/>
                <w:color w:val="auto"/>
              </w:rPr>
            </w:pPr>
            <w:r>
              <w:rPr>
                <w:rFonts w:ascii="Arial" w:cs="Arial" w:eastAsia="Arial" w:hAnsi="Arial"/>
                <w:sz w:val="17"/>
                <w:szCs w:val="17"/>
                <w:color w:val="auto"/>
              </w:rPr>
              <w:t>Earnings per diluted common share (1)</w:t>
            </w:r>
          </w:p>
        </w:tc>
        <w:tc>
          <w:tcPr>
            <w:tcW w:w="30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0.92</w:t>
            </w:r>
          </w:p>
        </w:tc>
        <w:tc>
          <w:tcPr>
            <w:tcW w:w="10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0.91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color w:val="auto"/>
              </w:rPr>
              <w:t>1.1</w:t>
            </w:r>
          </w:p>
        </w:tc>
      </w:tr>
      <w:tr>
        <w:trPr>
          <w:trHeight w:val="203"/>
        </w:trPr>
        <w:tc>
          <w:tcPr>
            <w:tcW w:w="6180" w:type="dxa"/>
            <w:vAlign w:val="bottom"/>
            <w:shd w:val="clear" w:color="auto" w:fill="F3F3F3"/>
          </w:tcPr>
          <w:p>
            <w:pPr>
              <w:spacing w:after="0"/>
              <w:rPr>
                <w:sz w:val="17"/>
                <w:szCs w:val="17"/>
                <w:color w:val="auto"/>
              </w:rPr>
            </w:pPr>
          </w:p>
        </w:tc>
        <w:tc>
          <w:tcPr>
            <w:tcW w:w="300" w:type="dxa"/>
            <w:vAlign w:val="bottom"/>
            <w:shd w:val="clear" w:color="auto" w:fill="F3F3F3"/>
          </w:tcPr>
          <w:p>
            <w:pPr>
              <w:spacing w:after="0"/>
              <w:rPr>
                <w:sz w:val="17"/>
                <w:szCs w:val="17"/>
                <w:color w:val="auto"/>
              </w:rPr>
            </w:pPr>
          </w:p>
        </w:tc>
        <w:tc>
          <w:tcPr>
            <w:tcW w:w="1280" w:type="dxa"/>
            <w:vAlign w:val="bottom"/>
            <w:shd w:val="clear" w:color="auto" w:fill="F3F3F3"/>
          </w:tcPr>
          <w:p>
            <w:pPr>
              <w:spacing w:after="0"/>
              <w:rPr>
                <w:sz w:val="17"/>
                <w:szCs w:val="17"/>
                <w:color w:val="auto"/>
              </w:rPr>
            </w:pPr>
          </w:p>
        </w:tc>
        <w:tc>
          <w:tcPr>
            <w:tcW w:w="100" w:type="dxa"/>
            <w:vAlign w:val="bottom"/>
            <w:shd w:val="clear" w:color="auto" w:fill="F3F3F3"/>
          </w:tcPr>
          <w:p>
            <w:pPr>
              <w:spacing w:after="0"/>
              <w:rPr>
                <w:sz w:val="17"/>
                <w:szCs w:val="17"/>
                <w:color w:val="auto"/>
              </w:rPr>
            </w:pPr>
          </w:p>
        </w:tc>
        <w:tc>
          <w:tcPr>
            <w:tcW w:w="280" w:type="dxa"/>
            <w:vAlign w:val="bottom"/>
            <w:shd w:val="clear" w:color="auto" w:fill="F3F3F3"/>
          </w:tcPr>
          <w:p>
            <w:pPr>
              <w:spacing w:after="0"/>
              <w:rPr>
                <w:sz w:val="17"/>
                <w:szCs w:val="17"/>
                <w:color w:val="auto"/>
              </w:rPr>
            </w:pPr>
          </w:p>
        </w:tc>
        <w:tc>
          <w:tcPr>
            <w:tcW w:w="1300" w:type="dxa"/>
            <w:vAlign w:val="bottom"/>
            <w:shd w:val="clear" w:color="auto" w:fill="F3F3F3"/>
          </w:tcPr>
          <w:p>
            <w:pPr>
              <w:spacing w:after="0"/>
              <w:rPr>
                <w:sz w:val="17"/>
                <w:szCs w:val="17"/>
                <w:color w:val="auto"/>
              </w:rPr>
            </w:pPr>
          </w:p>
        </w:tc>
        <w:tc>
          <w:tcPr>
            <w:tcW w:w="80" w:type="dxa"/>
            <w:vAlign w:val="bottom"/>
            <w:shd w:val="clear" w:color="auto" w:fill="F3F3F3"/>
          </w:tcPr>
          <w:p>
            <w:pPr>
              <w:spacing w:after="0"/>
              <w:rPr>
                <w:sz w:val="17"/>
                <w:szCs w:val="17"/>
                <w:color w:val="auto"/>
              </w:rPr>
            </w:pPr>
          </w:p>
        </w:tc>
        <w:tc>
          <w:tcPr>
            <w:tcW w:w="320" w:type="dxa"/>
            <w:vAlign w:val="bottom"/>
            <w:shd w:val="clear" w:color="auto" w:fill="F3F3F3"/>
          </w:tcPr>
          <w:p>
            <w:pPr>
              <w:spacing w:after="0"/>
              <w:rPr>
                <w:sz w:val="17"/>
                <w:szCs w:val="17"/>
                <w:color w:val="auto"/>
              </w:rPr>
            </w:pPr>
          </w:p>
        </w:tc>
        <w:tc>
          <w:tcPr>
            <w:tcW w:w="1400" w:type="dxa"/>
            <w:vAlign w:val="bottom"/>
            <w:shd w:val="clear" w:color="auto" w:fill="F3F3F3"/>
          </w:tcPr>
          <w:p>
            <w:pPr>
              <w:spacing w:after="0"/>
              <w:rPr>
                <w:sz w:val="17"/>
                <w:szCs w:val="17"/>
                <w:color w:val="auto"/>
              </w:rPr>
            </w:pPr>
          </w:p>
        </w:tc>
      </w:tr>
      <w:tr>
        <w:trPr>
          <w:trHeight w:val="229"/>
        </w:trPr>
        <w:tc>
          <w:tcPr>
            <w:tcW w:w="618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Ratios and margin</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180" w:type="dxa"/>
            <w:vAlign w:val="bottom"/>
            <w:shd w:val="clear" w:color="auto" w:fill="F3F3F3"/>
          </w:tcPr>
          <w:p>
            <w:pPr>
              <w:ind w:left="220"/>
              <w:spacing w:after="0"/>
              <w:rPr>
                <w:sz w:val="20"/>
                <w:szCs w:val="20"/>
                <w:color w:val="auto"/>
              </w:rPr>
            </w:pPr>
            <w:r>
              <w:rPr>
                <w:rFonts w:ascii="Arial" w:cs="Arial" w:eastAsia="Arial" w:hAnsi="Arial"/>
                <w:sz w:val="17"/>
                <w:szCs w:val="17"/>
                <w:color w:val="auto"/>
              </w:rPr>
              <w:t>Compensation ratio</w:t>
            </w:r>
          </w:p>
        </w:tc>
        <w:tc>
          <w:tcPr>
            <w:tcW w:w="300" w:type="dxa"/>
            <w:vAlign w:val="bottom"/>
            <w:shd w:val="clear" w:color="auto" w:fill="F3F3F3"/>
          </w:tcPr>
          <w:p>
            <w:pPr>
              <w:spacing w:after="0"/>
              <w:rPr>
                <w:sz w:val="19"/>
                <w:szCs w:val="19"/>
                <w:color w:val="auto"/>
              </w:rPr>
            </w:pPr>
          </w:p>
        </w:tc>
        <w:tc>
          <w:tcPr>
            <w:tcW w:w="1280" w:type="dxa"/>
            <w:vAlign w:val="bottom"/>
            <w:shd w:val="clear" w:color="auto" w:fill="F3F3F3"/>
          </w:tcPr>
          <w:p>
            <w:pPr>
              <w:jc w:val="right"/>
              <w:ind w:right="35"/>
              <w:spacing w:after="0"/>
              <w:rPr>
                <w:sz w:val="20"/>
                <w:szCs w:val="20"/>
                <w:color w:val="auto"/>
              </w:rPr>
            </w:pPr>
            <w:r>
              <w:rPr>
                <w:rFonts w:ascii="Arial" w:cs="Arial" w:eastAsia="Arial" w:hAnsi="Arial"/>
                <w:sz w:val="17"/>
                <w:szCs w:val="17"/>
                <w:b w:val="1"/>
                <w:bCs w:val="1"/>
                <w:color w:val="auto"/>
              </w:rPr>
              <w:t>62.4%</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300" w:type="dxa"/>
            <w:vAlign w:val="bottom"/>
            <w:shd w:val="clear" w:color="auto" w:fill="F3F3F3"/>
          </w:tcPr>
          <w:p>
            <w:pPr>
              <w:jc w:val="right"/>
              <w:ind w:right="55"/>
              <w:spacing w:after="0"/>
              <w:rPr>
                <w:sz w:val="20"/>
                <w:szCs w:val="20"/>
                <w:color w:val="auto"/>
              </w:rPr>
            </w:pPr>
            <w:r>
              <w:rPr>
                <w:rFonts w:ascii="Arial" w:cs="Arial" w:eastAsia="Arial" w:hAnsi="Arial"/>
                <w:sz w:val="17"/>
                <w:szCs w:val="17"/>
                <w:color w:val="auto"/>
              </w:rPr>
              <w:t>69.5%</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spacing w:after="0"/>
              <w:rPr>
                <w:sz w:val="19"/>
                <w:szCs w:val="19"/>
                <w:color w:val="auto"/>
              </w:rPr>
            </w:pPr>
          </w:p>
        </w:tc>
      </w:tr>
      <w:tr>
        <w:trPr>
          <w:trHeight w:val="229"/>
        </w:trPr>
        <w:tc>
          <w:tcPr>
            <w:tcW w:w="6180" w:type="dxa"/>
            <w:vAlign w:val="bottom"/>
          </w:tcPr>
          <w:p>
            <w:pPr>
              <w:ind w:left="220"/>
              <w:spacing w:after="0"/>
              <w:rPr>
                <w:sz w:val="20"/>
                <w:szCs w:val="20"/>
                <w:color w:val="auto"/>
              </w:rPr>
            </w:pPr>
            <w:r>
              <w:rPr>
                <w:rFonts w:ascii="Arial" w:cs="Arial" w:eastAsia="Arial" w:hAnsi="Arial"/>
                <w:sz w:val="17"/>
                <w:szCs w:val="17"/>
                <w:color w:val="auto"/>
              </w:rPr>
              <w:t>Non-compensation ratio</w:t>
            </w:r>
          </w:p>
        </w:tc>
        <w:tc>
          <w:tcPr>
            <w:tcW w:w="3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19.1%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180" w:type="dxa"/>
            <w:vAlign w:val="bottom"/>
            <w:shd w:val="clear" w:color="auto" w:fill="F3F3F3"/>
          </w:tcPr>
          <w:p>
            <w:pPr>
              <w:ind w:left="220"/>
              <w:spacing w:after="0"/>
              <w:rPr>
                <w:sz w:val="20"/>
                <w:szCs w:val="20"/>
                <w:color w:val="auto"/>
              </w:rPr>
            </w:pPr>
            <w:r>
              <w:rPr>
                <w:rFonts w:ascii="Arial" w:cs="Arial" w:eastAsia="Arial" w:hAnsi="Arial"/>
                <w:sz w:val="17"/>
                <w:szCs w:val="17"/>
                <w:color w:val="auto"/>
              </w:rPr>
              <w:t>Pre-tax margin</w:t>
            </w:r>
          </w:p>
        </w:tc>
        <w:tc>
          <w:tcPr>
            <w:tcW w:w="300" w:type="dxa"/>
            <w:vAlign w:val="bottom"/>
            <w:shd w:val="clear" w:color="auto" w:fill="F3F3F3"/>
          </w:tcPr>
          <w:p>
            <w:pPr>
              <w:spacing w:after="0"/>
              <w:rPr>
                <w:sz w:val="19"/>
                <w:szCs w:val="19"/>
                <w:color w:val="auto"/>
              </w:rPr>
            </w:pPr>
          </w:p>
        </w:tc>
        <w:tc>
          <w:tcPr>
            <w:tcW w:w="1280" w:type="dxa"/>
            <w:vAlign w:val="bottom"/>
            <w:shd w:val="clear" w:color="auto" w:fill="F3F3F3"/>
          </w:tcPr>
          <w:p>
            <w:pPr>
              <w:jc w:val="right"/>
              <w:ind w:right="35"/>
              <w:spacing w:after="0"/>
              <w:rPr>
                <w:sz w:val="20"/>
                <w:szCs w:val="20"/>
                <w:color w:val="auto"/>
              </w:rPr>
            </w:pPr>
            <w:r>
              <w:rPr>
                <w:rFonts w:ascii="Arial" w:cs="Arial" w:eastAsia="Arial" w:hAnsi="Arial"/>
                <w:sz w:val="17"/>
                <w:szCs w:val="17"/>
                <w:b w:val="1"/>
                <w:bCs w:val="1"/>
                <w:color w:val="auto"/>
              </w:rPr>
              <w:t>18.5%</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300" w:type="dxa"/>
            <w:vAlign w:val="bottom"/>
            <w:shd w:val="clear" w:color="auto" w:fill="F3F3F3"/>
          </w:tcPr>
          <w:p>
            <w:pPr>
              <w:jc w:val="right"/>
              <w:ind w:right="55"/>
              <w:spacing w:after="0"/>
              <w:rPr>
                <w:sz w:val="20"/>
                <w:szCs w:val="20"/>
                <w:color w:val="auto"/>
              </w:rPr>
            </w:pPr>
            <w:r>
              <w:rPr>
                <w:rFonts w:ascii="Arial" w:cs="Arial" w:eastAsia="Arial" w:hAnsi="Arial"/>
                <w:sz w:val="17"/>
                <w:szCs w:val="17"/>
                <w:color w:val="auto"/>
              </w:rPr>
              <w:t>8.2%</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spacing w:after="0"/>
              <w:rPr>
                <w:sz w:val="19"/>
                <w:szCs w:val="19"/>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7"/>
                <w:szCs w:val="17"/>
                <w:color w:val="auto"/>
              </w:rPr>
              <w:t>Effective tax rate</w:t>
            </w:r>
          </w:p>
        </w:tc>
        <w:tc>
          <w:tcPr>
            <w:tcW w:w="3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22.3%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(24.9)%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3"/>
        </w:trPr>
        <w:tc>
          <w:tcPr>
            <w:tcW w:w="6180" w:type="dxa"/>
            <w:vAlign w:val="bottom"/>
            <w:shd w:val="clear" w:color="auto" w:fill="F3F3F3"/>
          </w:tcPr>
          <w:p>
            <w:pPr>
              <w:spacing w:after="0"/>
              <w:rPr>
                <w:sz w:val="17"/>
                <w:szCs w:val="17"/>
                <w:color w:val="auto"/>
              </w:rPr>
            </w:pPr>
          </w:p>
        </w:tc>
        <w:tc>
          <w:tcPr>
            <w:tcW w:w="300" w:type="dxa"/>
            <w:vAlign w:val="bottom"/>
            <w:shd w:val="clear" w:color="auto" w:fill="F3F3F3"/>
          </w:tcPr>
          <w:p>
            <w:pPr>
              <w:spacing w:after="0"/>
              <w:rPr>
                <w:sz w:val="17"/>
                <w:szCs w:val="17"/>
                <w:color w:val="auto"/>
              </w:rPr>
            </w:pPr>
          </w:p>
        </w:tc>
        <w:tc>
          <w:tcPr>
            <w:tcW w:w="1280" w:type="dxa"/>
            <w:vAlign w:val="bottom"/>
            <w:shd w:val="clear" w:color="auto" w:fill="F3F3F3"/>
          </w:tcPr>
          <w:p>
            <w:pPr>
              <w:spacing w:after="0"/>
              <w:rPr>
                <w:sz w:val="17"/>
                <w:szCs w:val="17"/>
                <w:color w:val="auto"/>
              </w:rPr>
            </w:pPr>
          </w:p>
        </w:tc>
        <w:tc>
          <w:tcPr>
            <w:tcW w:w="100" w:type="dxa"/>
            <w:vAlign w:val="bottom"/>
            <w:shd w:val="clear" w:color="auto" w:fill="F3F3F3"/>
          </w:tcPr>
          <w:p>
            <w:pPr>
              <w:spacing w:after="0"/>
              <w:rPr>
                <w:sz w:val="17"/>
                <w:szCs w:val="17"/>
                <w:color w:val="auto"/>
              </w:rPr>
            </w:pPr>
          </w:p>
        </w:tc>
        <w:tc>
          <w:tcPr>
            <w:tcW w:w="280" w:type="dxa"/>
            <w:vAlign w:val="bottom"/>
            <w:shd w:val="clear" w:color="auto" w:fill="F3F3F3"/>
          </w:tcPr>
          <w:p>
            <w:pPr>
              <w:spacing w:after="0"/>
              <w:rPr>
                <w:sz w:val="17"/>
                <w:szCs w:val="17"/>
                <w:color w:val="auto"/>
              </w:rPr>
            </w:pPr>
          </w:p>
        </w:tc>
        <w:tc>
          <w:tcPr>
            <w:tcW w:w="1300" w:type="dxa"/>
            <w:vAlign w:val="bottom"/>
            <w:shd w:val="clear" w:color="auto" w:fill="F3F3F3"/>
          </w:tcPr>
          <w:p>
            <w:pPr>
              <w:spacing w:after="0"/>
              <w:rPr>
                <w:sz w:val="17"/>
                <w:szCs w:val="17"/>
                <w:color w:val="auto"/>
              </w:rPr>
            </w:pPr>
          </w:p>
        </w:tc>
        <w:tc>
          <w:tcPr>
            <w:tcW w:w="80" w:type="dxa"/>
            <w:vAlign w:val="bottom"/>
            <w:shd w:val="clear" w:color="auto" w:fill="F3F3F3"/>
          </w:tcPr>
          <w:p>
            <w:pPr>
              <w:spacing w:after="0"/>
              <w:rPr>
                <w:sz w:val="17"/>
                <w:szCs w:val="17"/>
                <w:color w:val="auto"/>
              </w:rPr>
            </w:pPr>
          </w:p>
        </w:tc>
        <w:tc>
          <w:tcPr>
            <w:tcW w:w="320" w:type="dxa"/>
            <w:vAlign w:val="bottom"/>
            <w:shd w:val="clear" w:color="auto" w:fill="F3F3F3"/>
          </w:tcPr>
          <w:p>
            <w:pPr>
              <w:spacing w:after="0"/>
              <w:rPr>
                <w:sz w:val="17"/>
                <w:szCs w:val="17"/>
                <w:color w:val="auto"/>
              </w:rPr>
            </w:pPr>
          </w:p>
        </w:tc>
        <w:tc>
          <w:tcPr>
            <w:tcW w:w="1400" w:type="dxa"/>
            <w:vAlign w:val="bottom"/>
            <w:shd w:val="clear" w:color="auto" w:fill="F3F3F3"/>
          </w:tcPr>
          <w:p>
            <w:pPr>
              <w:spacing w:after="0"/>
              <w:rPr>
                <w:sz w:val="17"/>
                <w:szCs w:val="17"/>
                <w:color w:val="auto"/>
              </w:rPr>
            </w:pPr>
          </w:p>
        </w:tc>
      </w:tr>
      <w:tr>
        <w:trPr>
          <w:trHeight w:val="229"/>
        </w:trPr>
        <w:tc>
          <w:tcPr>
            <w:tcW w:w="6180" w:type="dxa"/>
            <w:vAlign w:val="bottom"/>
          </w:tcPr>
          <w:p>
            <w:pPr>
              <w:ind w:left="20"/>
              <w:spacing w:after="0" w:line="229" w:lineRule="exact"/>
              <w:rPr>
                <w:sz w:val="20"/>
                <w:szCs w:val="20"/>
                <w:color w:val="auto"/>
              </w:rPr>
            </w:pPr>
            <w:r>
              <w:rPr>
                <w:rFonts w:ascii="Arial" w:cs="Arial" w:eastAsia="Arial" w:hAnsi="Arial"/>
                <w:sz w:val="17"/>
                <w:szCs w:val="17"/>
                <w:b w:val="1"/>
                <w:bCs w:val="1"/>
                <w:color w:val="auto"/>
              </w:rPr>
              <w:t>Non-GAAP</w:t>
            </w:r>
            <w:r>
              <w:rPr>
                <w:rFonts w:ascii="Arial" w:cs="Arial" w:eastAsia="Arial" w:hAnsi="Arial"/>
                <w:sz w:val="22"/>
                <w:szCs w:val="22"/>
                <w:b w:val="1"/>
                <w:bCs w:val="1"/>
                <w:color w:val="auto"/>
                <w:vertAlign w:val="superscript"/>
              </w:rPr>
              <w:t>(2)</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618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Adjusted net revenues</w:t>
            </w:r>
          </w:p>
        </w:tc>
        <w:tc>
          <w:tcPr>
            <w:tcW w:w="300" w:type="dxa"/>
            <w:vAlign w:val="bottom"/>
            <w:shd w:val="clear" w:color="auto" w:fill="F3F3F3"/>
          </w:tcPr>
          <w:p>
            <w:pPr>
              <w:jc w:val="right"/>
              <w:ind w:right="95"/>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469,544</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20"/>
                <w:szCs w:val="20"/>
                <w:color w:val="auto"/>
              </w:rPr>
            </w:pPr>
            <w:r>
              <w:rPr>
                <w:rFonts w:ascii="Arial" w:cs="Arial" w:eastAsia="Arial" w:hAnsi="Arial"/>
                <w:sz w:val="17"/>
                <w:szCs w:val="17"/>
                <w:color w:val="auto"/>
              </w:rPr>
              <w:t>$</w:t>
            </w:r>
          </w:p>
        </w:tc>
        <w:tc>
          <w:tcPr>
            <w:tcW w:w="13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383,310</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22.5 %</w:t>
            </w:r>
          </w:p>
        </w:tc>
      </w:tr>
      <w:tr>
        <w:trPr>
          <w:trHeight w:val="230"/>
        </w:trPr>
        <w:tc>
          <w:tcPr>
            <w:tcW w:w="6180" w:type="dxa"/>
            <w:vAlign w:val="bottom"/>
          </w:tcPr>
          <w:p>
            <w:pPr>
              <w:ind w:left="140"/>
              <w:spacing w:after="0"/>
              <w:rPr>
                <w:sz w:val="20"/>
                <w:szCs w:val="20"/>
                <w:color w:val="auto"/>
              </w:rPr>
            </w:pPr>
            <w:r>
              <w:rPr>
                <w:rFonts w:ascii="Arial" w:cs="Arial" w:eastAsia="Arial" w:hAnsi="Arial"/>
                <w:sz w:val="17"/>
                <w:szCs w:val="17"/>
                <w:color w:val="auto"/>
              </w:rPr>
              <w:t>Adjusted compensation and benefits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289,239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239,569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color w:val="auto"/>
              </w:rPr>
              <w:t>20.7</w:t>
            </w:r>
          </w:p>
        </w:tc>
      </w:tr>
      <w:tr>
        <w:trPr>
          <w:trHeight w:val="229"/>
        </w:trPr>
        <w:tc>
          <w:tcPr>
            <w:tcW w:w="618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Adjusted non-compensation expenses</w:t>
            </w:r>
          </w:p>
        </w:tc>
        <w:tc>
          <w:tcPr>
            <w:tcW w:w="300" w:type="dxa"/>
            <w:vAlign w:val="bottom"/>
            <w:shd w:val="clear" w:color="auto" w:fill="F3F3F3"/>
          </w:tcPr>
          <w:p>
            <w:pPr>
              <w:spacing w:after="0"/>
              <w:rPr>
                <w:sz w:val="19"/>
                <w:szCs w:val="19"/>
                <w:color w:val="auto"/>
              </w:rPr>
            </w:pPr>
          </w:p>
        </w:tc>
        <w:tc>
          <w:tcPr>
            <w:tcW w:w="128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86,444</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3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75,197</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15.0</w:t>
            </w:r>
          </w:p>
        </w:tc>
      </w:tr>
      <w:tr>
        <w:trPr>
          <w:trHeight w:val="230"/>
        </w:trPr>
        <w:tc>
          <w:tcPr>
            <w:tcW w:w="6180" w:type="dxa"/>
            <w:vAlign w:val="bottom"/>
          </w:tcPr>
          <w:p>
            <w:pPr>
              <w:ind w:left="140"/>
              <w:spacing w:after="0"/>
              <w:rPr>
                <w:sz w:val="20"/>
                <w:szCs w:val="20"/>
                <w:color w:val="auto"/>
              </w:rPr>
            </w:pPr>
            <w:r>
              <w:rPr>
                <w:rFonts w:ascii="Arial" w:cs="Arial" w:eastAsia="Arial" w:hAnsi="Arial"/>
                <w:sz w:val="17"/>
                <w:szCs w:val="17"/>
                <w:color w:val="auto"/>
              </w:rPr>
              <w:t>Adjusted operating income</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93,861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68,544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color w:val="auto"/>
              </w:rPr>
              <w:t>36.9</w:t>
            </w:r>
          </w:p>
        </w:tc>
      </w:tr>
      <w:tr>
        <w:trPr>
          <w:trHeight w:val="230"/>
        </w:trPr>
        <w:tc>
          <w:tcPr>
            <w:tcW w:w="618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Adjusted income tax expense/(benefit)</w:t>
            </w:r>
          </w:p>
        </w:tc>
        <w:tc>
          <w:tcPr>
            <w:tcW w:w="300" w:type="dxa"/>
            <w:vAlign w:val="bottom"/>
            <w:shd w:val="clear" w:color="auto" w:fill="F3F3F3"/>
          </w:tcPr>
          <w:p>
            <w:pPr>
              <w:spacing w:after="0"/>
              <w:rPr>
                <w:sz w:val="19"/>
                <w:szCs w:val="19"/>
                <w:color w:val="auto"/>
              </w:rPr>
            </w:pPr>
          </w:p>
        </w:tc>
        <w:tc>
          <w:tcPr>
            <w:tcW w:w="128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21,927</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3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(4,951)</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ind w:left="860"/>
              <w:spacing w:after="0"/>
              <w:rPr>
                <w:sz w:val="20"/>
                <w:szCs w:val="20"/>
                <w:color w:val="auto"/>
              </w:rPr>
            </w:pPr>
            <w:r>
              <w:rPr>
                <w:rFonts w:ascii="Arial" w:cs="Arial" w:eastAsia="Arial" w:hAnsi="Arial"/>
                <w:sz w:val="17"/>
                <w:szCs w:val="17"/>
                <w:color w:val="auto"/>
              </w:rPr>
              <w:t>N/M</w:t>
            </w:r>
          </w:p>
        </w:tc>
      </w:tr>
      <w:tr>
        <w:trPr>
          <w:trHeight w:val="230"/>
        </w:trPr>
        <w:tc>
          <w:tcPr>
            <w:tcW w:w="6180" w:type="dxa"/>
            <w:vAlign w:val="bottom"/>
          </w:tcPr>
          <w:p>
            <w:pPr>
              <w:ind w:left="140"/>
              <w:spacing w:after="0"/>
              <w:rPr>
                <w:sz w:val="20"/>
                <w:szCs w:val="20"/>
                <w:color w:val="auto"/>
              </w:rPr>
            </w:pPr>
            <w:r>
              <w:rPr>
                <w:rFonts w:ascii="Arial" w:cs="Arial" w:eastAsia="Arial" w:hAnsi="Arial"/>
                <w:sz w:val="17"/>
                <w:szCs w:val="17"/>
                <w:color w:val="auto"/>
              </w:rPr>
              <w:t>Adjusted net income attributable to Piper Sandler Companies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b w:val="1"/>
                <w:bCs w:val="1"/>
                <w:color w:val="auto"/>
              </w:rPr>
              <w:t>71,934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73,495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ind w:left="880"/>
              <w:spacing w:after="0"/>
              <w:rPr>
                <w:sz w:val="20"/>
                <w:szCs w:val="20"/>
                <w:color w:val="auto"/>
              </w:rPr>
            </w:pPr>
            <w:r>
              <w:rPr>
                <w:rFonts w:ascii="Arial" w:cs="Arial" w:eastAsia="Arial" w:hAnsi="Arial"/>
                <w:sz w:val="17"/>
                <w:szCs w:val="17"/>
                <w:color w:val="auto"/>
              </w:rPr>
              <w:t>(2.1)</w:t>
            </w:r>
          </w:p>
        </w:tc>
      </w:tr>
      <w:tr>
        <w:trPr>
          <w:trHeight w:val="229"/>
        </w:trPr>
        <w:tc>
          <w:tcPr>
            <w:tcW w:w="618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Adjusted earnings per diluted common share (1)</w:t>
            </w:r>
          </w:p>
        </w:tc>
        <w:tc>
          <w:tcPr>
            <w:tcW w:w="300" w:type="dxa"/>
            <w:vAlign w:val="bottom"/>
            <w:shd w:val="clear" w:color="auto" w:fill="F3F3F3"/>
          </w:tcPr>
          <w:p>
            <w:pPr>
              <w:jc w:val="right"/>
              <w:ind w:right="95"/>
              <w:spacing w:after="0"/>
              <w:rPr>
                <w:sz w:val="20"/>
                <w:szCs w:val="20"/>
                <w:color w:val="auto"/>
              </w:rPr>
            </w:pPr>
            <w:r>
              <w:rPr>
                <w:rFonts w:ascii="Arial" w:cs="Arial" w:eastAsia="Arial" w:hAnsi="Arial"/>
                <w:sz w:val="17"/>
                <w:szCs w:val="17"/>
                <w:b w:val="1"/>
                <w:bCs w:val="1"/>
                <w:color w:val="auto"/>
              </w:rPr>
              <w:t>$</w:t>
            </w:r>
          </w:p>
        </w:tc>
        <w:tc>
          <w:tcPr>
            <w:tcW w:w="128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1.00</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20"/>
                <w:szCs w:val="20"/>
                <w:color w:val="auto"/>
              </w:rPr>
            </w:pPr>
            <w:r>
              <w:rPr>
                <w:rFonts w:ascii="Arial" w:cs="Arial" w:eastAsia="Arial" w:hAnsi="Arial"/>
                <w:sz w:val="17"/>
                <w:szCs w:val="17"/>
                <w:color w:val="auto"/>
              </w:rPr>
              <w:t>$</w:t>
            </w:r>
          </w:p>
        </w:tc>
        <w:tc>
          <w:tcPr>
            <w:tcW w:w="13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1.02</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ind w:left="880"/>
              <w:spacing w:after="0"/>
              <w:rPr>
                <w:sz w:val="20"/>
                <w:szCs w:val="20"/>
                <w:color w:val="auto"/>
              </w:rPr>
            </w:pPr>
            <w:r>
              <w:rPr>
                <w:rFonts w:ascii="Arial" w:cs="Arial" w:eastAsia="Arial" w:hAnsi="Arial"/>
                <w:sz w:val="17"/>
                <w:szCs w:val="17"/>
                <w:color w:val="auto"/>
              </w:rPr>
              <w:t>(2.0)</w:t>
            </w:r>
          </w:p>
        </w:tc>
      </w:tr>
      <w:tr>
        <w:trPr>
          <w:trHeight w:val="203"/>
        </w:trPr>
        <w:tc>
          <w:tcPr>
            <w:tcW w:w="6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0"/>
        </w:trPr>
        <w:tc>
          <w:tcPr>
            <w:tcW w:w="6180" w:type="dxa"/>
            <w:vAlign w:val="bottom"/>
            <w:shd w:val="clear" w:color="auto" w:fill="F3F3F3"/>
          </w:tcPr>
          <w:p>
            <w:pPr>
              <w:ind w:left="140"/>
              <w:spacing w:after="0"/>
              <w:rPr>
                <w:sz w:val="20"/>
                <w:szCs w:val="20"/>
                <w:color w:val="auto"/>
              </w:rPr>
            </w:pPr>
            <w:r>
              <w:rPr>
                <w:rFonts w:ascii="Arial" w:cs="Arial" w:eastAsia="Arial" w:hAnsi="Arial"/>
                <w:sz w:val="17"/>
                <w:szCs w:val="17"/>
                <w:b w:val="1"/>
                <w:bCs w:val="1"/>
                <w:i w:val="1"/>
                <w:iCs w:val="1"/>
                <w:color w:val="auto"/>
              </w:rPr>
              <w:t>Adjusted ratios and margin</w:t>
            </w:r>
          </w:p>
        </w:tc>
        <w:tc>
          <w:tcPr>
            <w:tcW w:w="300" w:type="dxa"/>
            <w:vAlign w:val="bottom"/>
            <w:shd w:val="clear" w:color="auto" w:fill="F3F3F3"/>
          </w:tcPr>
          <w:p>
            <w:pPr>
              <w:spacing w:after="0"/>
              <w:rPr>
                <w:sz w:val="19"/>
                <w:szCs w:val="19"/>
                <w:color w:val="auto"/>
              </w:rPr>
            </w:pPr>
          </w:p>
        </w:tc>
        <w:tc>
          <w:tcPr>
            <w:tcW w:w="128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300" w:type="dxa"/>
            <w:vAlign w:val="bottom"/>
            <w:shd w:val="clear" w:color="auto" w:fill="F3F3F3"/>
          </w:tcPr>
          <w:p>
            <w:pPr>
              <w:spacing w:after="0"/>
              <w:rPr>
                <w:sz w:val="19"/>
                <w:szCs w:val="19"/>
                <w:color w:val="auto"/>
              </w:rPr>
            </w:pP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spacing w:after="0"/>
              <w:rPr>
                <w:sz w:val="19"/>
                <w:szCs w:val="19"/>
                <w:color w:val="auto"/>
              </w:rPr>
            </w:pPr>
          </w:p>
        </w:tc>
      </w:tr>
      <w:tr>
        <w:trPr>
          <w:trHeight w:val="230"/>
        </w:trPr>
        <w:tc>
          <w:tcPr>
            <w:tcW w:w="6180" w:type="dxa"/>
            <w:vAlign w:val="bottom"/>
          </w:tcPr>
          <w:p>
            <w:pPr>
              <w:ind w:left="220"/>
              <w:spacing w:after="0"/>
              <w:rPr>
                <w:sz w:val="20"/>
                <w:szCs w:val="20"/>
                <w:color w:val="auto"/>
              </w:rPr>
            </w:pPr>
            <w:r>
              <w:rPr>
                <w:rFonts w:ascii="Arial" w:cs="Arial" w:eastAsia="Arial" w:hAnsi="Arial"/>
                <w:sz w:val="17"/>
                <w:szCs w:val="17"/>
                <w:color w:val="auto"/>
              </w:rPr>
              <w:t>Adjusted compensation ratio</w:t>
            </w:r>
          </w:p>
        </w:tc>
        <w:tc>
          <w:tcPr>
            <w:tcW w:w="3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61.6%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62.5%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180" w:type="dxa"/>
            <w:vAlign w:val="bottom"/>
            <w:shd w:val="clear" w:color="auto" w:fill="F3F3F3"/>
          </w:tcPr>
          <w:p>
            <w:pPr>
              <w:ind w:left="220"/>
              <w:spacing w:after="0"/>
              <w:rPr>
                <w:sz w:val="20"/>
                <w:szCs w:val="20"/>
                <w:color w:val="auto"/>
              </w:rPr>
            </w:pPr>
            <w:r>
              <w:rPr>
                <w:rFonts w:ascii="Arial" w:cs="Arial" w:eastAsia="Arial" w:hAnsi="Arial"/>
                <w:sz w:val="17"/>
                <w:szCs w:val="17"/>
                <w:color w:val="auto"/>
              </w:rPr>
              <w:t>Adjusted non-compensation ratio</w:t>
            </w:r>
          </w:p>
        </w:tc>
        <w:tc>
          <w:tcPr>
            <w:tcW w:w="300" w:type="dxa"/>
            <w:vAlign w:val="bottom"/>
            <w:shd w:val="clear" w:color="auto" w:fill="F3F3F3"/>
          </w:tcPr>
          <w:p>
            <w:pPr>
              <w:spacing w:after="0"/>
              <w:rPr>
                <w:sz w:val="19"/>
                <w:szCs w:val="19"/>
                <w:color w:val="auto"/>
              </w:rPr>
            </w:pPr>
          </w:p>
        </w:tc>
        <w:tc>
          <w:tcPr>
            <w:tcW w:w="1280" w:type="dxa"/>
            <w:vAlign w:val="bottom"/>
            <w:shd w:val="clear" w:color="auto" w:fill="F3F3F3"/>
          </w:tcPr>
          <w:p>
            <w:pPr>
              <w:jc w:val="right"/>
              <w:ind w:right="35"/>
              <w:spacing w:after="0"/>
              <w:rPr>
                <w:sz w:val="20"/>
                <w:szCs w:val="20"/>
                <w:color w:val="auto"/>
              </w:rPr>
            </w:pPr>
            <w:r>
              <w:rPr>
                <w:rFonts w:ascii="Arial" w:cs="Arial" w:eastAsia="Arial" w:hAnsi="Arial"/>
                <w:sz w:val="17"/>
                <w:szCs w:val="17"/>
                <w:b w:val="1"/>
                <w:bCs w:val="1"/>
                <w:color w:val="auto"/>
              </w:rPr>
              <w:t>18.4%</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300" w:type="dxa"/>
            <w:vAlign w:val="bottom"/>
            <w:shd w:val="clear" w:color="auto" w:fill="F3F3F3"/>
          </w:tcPr>
          <w:p>
            <w:pPr>
              <w:jc w:val="right"/>
              <w:ind w:right="55"/>
              <w:spacing w:after="0"/>
              <w:rPr>
                <w:sz w:val="20"/>
                <w:szCs w:val="20"/>
                <w:color w:val="auto"/>
              </w:rPr>
            </w:pPr>
            <w:r>
              <w:rPr>
                <w:rFonts w:ascii="Arial" w:cs="Arial" w:eastAsia="Arial" w:hAnsi="Arial"/>
                <w:sz w:val="17"/>
                <w:szCs w:val="17"/>
                <w:color w:val="auto"/>
              </w:rPr>
              <w:t>19.6%</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spacing w:after="0"/>
              <w:rPr>
                <w:sz w:val="19"/>
                <w:szCs w:val="19"/>
                <w:color w:val="auto"/>
              </w:rPr>
            </w:pPr>
          </w:p>
        </w:tc>
      </w:tr>
      <w:tr>
        <w:trPr>
          <w:trHeight w:val="229"/>
        </w:trPr>
        <w:tc>
          <w:tcPr>
            <w:tcW w:w="6180" w:type="dxa"/>
            <w:vAlign w:val="bottom"/>
          </w:tcPr>
          <w:p>
            <w:pPr>
              <w:ind w:left="220"/>
              <w:spacing w:after="0"/>
              <w:rPr>
                <w:sz w:val="20"/>
                <w:szCs w:val="20"/>
                <w:color w:val="auto"/>
              </w:rPr>
            </w:pPr>
            <w:r>
              <w:rPr>
                <w:rFonts w:ascii="Arial" w:cs="Arial" w:eastAsia="Arial" w:hAnsi="Arial"/>
                <w:sz w:val="17"/>
                <w:szCs w:val="17"/>
                <w:color w:val="auto"/>
              </w:rPr>
              <w:t>Adjusted operating margin</w:t>
            </w:r>
          </w:p>
        </w:tc>
        <w:tc>
          <w:tcPr>
            <w:tcW w:w="30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b w:val="1"/>
                <w:bCs w:val="1"/>
                <w:color w:val="auto"/>
              </w:rPr>
              <w:t>20.0%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ind w:right="55"/>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6180" w:type="dxa"/>
            <w:vAlign w:val="bottom"/>
            <w:shd w:val="clear" w:color="auto" w:fill="F3F3F3"/>
          </w:tcPr>
          <w:p>
            <w:pPr>
              <w:ind w:left="220"/>
              <w:spacing w:after="0"/>
              <w:rPr>
                <w:sz w:val="20"/>
                <w:szCs w:val="20"/>
                <w:color w:val="auto"/>
              </w:rPr>
            </w:pPr>
            <w:r>
              <w:rPr>
                <w:rFonts w:ascii="Arial" w:cs="Arial" w:eastAsia="Arial" w:hAnsi="Arial"/>
                <w:sz w:val="17"/>
                <w:szCs w:val="17"/>
                <w:color w:val="auto"/>
              </w:rPr>
              <w:t>Adjusted effective tax rate</w:t>
            </w:r>
          </w:p>
        </w:tc>
        <w:tc>
          <w:tcPr>
            <w:tcW w:w="300" w:type="dxa"/>
            <w:vAlign w:val="bottom"/>
            <w:shd w:val="clear" w:color="auto" w:fill="F3F3F3"/>
          </w:tcPr>
          <w:p>
            <w:pPr>
              <w:spacing w:after="0"/>
              <w:rPr>
                <w:sz w:val="19"/>
                <w:szCs w:val="19"/>
                <w:color w:val="auto"/>
              </w:rPr>
            </w:pPr>
          </w:p>
        </w:tc>
        <w:tc>
          <w:tcPr>
            <w:tcW w:w="1280" w:type="dxa"/>
            <w:vAlign w:val="bottom"/>
            <w:shd w:val="clear" w:color="auto" w:fill="F3F3F3"/>
          </w:tcPr>
          <w:p>
            <w:pPr>
              <w:jc w:val="right"/>
              <w:ind w:right="35"/>
              <w:spacing w:after="0"/>
              <w:rPr>
                <w:sz w:val="20"/>
                <w:szCs w:val="20"/>
                <w:color w:val="auto"/>
              </w:rPr>
            </w:pPr>
            <w:r>
              <w:rPr>
                <w:rFonts w:ascii="Arial" w:cs="Arial" w:eastAsia="Arial" w:hAnsi="Arial"/>
                <w:sz w:val="17"/>
                <w:szCs w:val="17"/>
                <w:b w:val="1"/>
                <w:bCs w:val="1"/>
                <w:color w:val="auto"/>
              </w:rPr>
              <w:t>23.4%</w:t>
            </w:r>
          </w:p>
        </w:tc>
        <w:tc>
          <w:tcPr>
            <w:tcW w:w="100" w:type="dxa"/>
            <w:vAlign w:val="bottom"/>
            <w:shd w:val="clear" w:color="auto" w:fill="F3F3F3"/>
          </w:tcPr>
          <w:p>
            <w:pPr>
              <w:spacing w:after="0"/>
              <w:rPr>
                <w:sz w:val="19"/>
                <w:szCs w:val="19"/>
                <w:color w:val="auto"/>
              </w:rPr>
            </w:pPr>
          </w:p>
        </w:tc>
        <w:tc>
          <w:tcPr>
            <w:tcW w:w="280" w:type="dxa"/>
            <w:vAlign w:val="bottom"/>
            <w:shd w:val="clear" w:color="auto" w:fill="F3F3F3"/>
          </w:tcPr>
          <w:p>
            <w:pPr>
              <w:spacing w:after="0"/>
              <w:rPr>
                <w:sz w:val="19"/>
                <w:szCs w:val="19"/>
                <w:color w:val="auto"/>
              </w:rPr>
            </w:pPr>
          </w:p>
        </w:tc>
        <w:tc>
          <w:tcPr>
            <w:tcW w:w="1300" w:type="dxa"/>
            <w:vAlign w:val="bottom"/>
            <w:shd w:val="clear" w:color="auto" w:fill="F3F3F3"/>
          </w:tcPr>
          <w:p>
            <w:pPr>
              <w:jc w:val="right"/>
              <w:ind w:right="55"/>
              <w:spacing w:after="0"/>
              <w:rPr>
                <w:sz w:val="20"/>
                <w:szCs w:val="20"/>
                <w:color w:val="auto"/>
              </w:rPr>
            </w:pPr>
            <w:r>
              <w:rPr>
                <w:rFonts w:ascii="Arial" w:cs="Arial" w:eastAsia="Arial" w:hAnsi="Arial"/>
                <w:sz w:val="17"/>
                <w:szCs w:val="17"/>
                <w:color w:val="auto"/>
              </w:rPr>
              <w:t>(7.2)%</w:t>
            </w:r>
          </w:p>
        </w:tc>
        <w:tc>
          <w:tcPr>
            <w:tcW w:w="8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400" w:type="dxa"/>
            <w:vAlign w:val="bottom"/>
            <w:shd w:val="clear" w:color="auto" w:fill="F3F3F3"/>
          </w:tcPr>
          <w:p>
            <w:pPr>
              <w:spacing w:after="0"/>
              <w:rPr>
                <w:sz w:val="19"/>
                <w:szCs w:val="19"/>
                <w:color w:val="auto"/>
              </w:rPr>
            </w:pPr>
          </w:p>
        </w:tc>
      </w:tr>
    </w:tbl>
    <w:p>
      <w:pPr>
        <w:spacing w:after="0" w:line="131" w:lineRule="exact"/>
        <w:rPr>
          <w:sz w:val="20"/>
          <w:szCs w:val="20"/>
          <w:color w:val="auto"/>
        </w:rPr>
      </w:pPr>
    </w:p>
    <w:p>
      <w:pPr>
        <w:ind w:left="340" w:hanging="332"/>
        <w:spacing w:after="0" w:line="283" w:lineRule="auto"/>
        <w:tabs>
          <w:tab w:leader="none" w:pos="338"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Earnings per diluted common share has been adjusted to reflect the four-for-one forward split of common stock. See Note 1 to our unaudited consolidated financial statements included in Part I, Item 1 of this Quarterly Report on Form 10-Q.</w:t>
      </w:r>
    </w:p>
    <w:p>
      <w:pPr>
        <w:spacing w:after="0" w:line="11" w:lineRule="exact"/>
        <w:rPr>
          <w:rFonts w:ascii="Arial" w:cs="Arial" w:eastAsia="Arial" w:hAnsi="Arial"/>
          <w:sz w:val="15"/>
          <w:szCs w:val="15"/>
          <w:i w:val="1"/>
          <w:iCs w:val="1"/>
          <w:color w:val="auto"/>
        </w:rPr>
      </w:pPr>
    </w:p>
    <w:p>
      <w:pPr>
        <w:ind w:left="340" w:hanging="332"/>
        <w:spacing w:after="0" w:line="283" w:lineRule="auto"/>
        <w:tabs>
          <w:tab w:leader="none" w:pos="338"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See "Explanation and Reconciliation of Non-GAAP Financial Measures" for a detailed explanation of the adjustments made to the corresponding U.S. GAAP measures and a reconciliation of U.S. GAAP to adjusted, non-GAAP financial information.</w:t>
      </w:r>
    </w:p>
    <w:p>
      <w:pPr>
        <w:spacing w:after="0" w:line="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N/M – Not meaningful</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Factors Impacting Our Business</w:t>
      </w:r>
    </w:p>
    <w:p>
      <w:pPr>
        <w:spacing w:after="0" w:line="16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Performance in the financial services industry in which we operate is highly correlated to the overall strength of macroeconomic conditions, financial market activity and the effect of geopolitical events. Overall market conditions are a product of many factors, which are beyond our control, often unpredictable and at times inherently volatile. These factors may affect the financial decisions made by investors, including their level of participation in the financial markets. In turn, these decisions may affect our business results. With respect to financial market activity, our profitability is sensitive to a variety of factors, including the demand for investment banking services as reflected by the number and size of advisory transactions, equity and debt corporate financings, and municipal financings; the relative level of volatility of the equity and fixed income markets; changes in interest rates and credit spreads (especially rapid and extreme changes); overall market liquidity; the level and shape of various yield curves; the volume and value of trading in securities; and overall equity valuations.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Factors that differentiate our business within the financial services industry also may affect our financial results. For example, our capital markets business focuses on specific industry sectors while serving principally a middle-market clientele. If the business environment for our focus sectors is impacted adversely, our business and results of operations could reflect these impacts. In addition, our business, with its specific areas of focus and investment, may not track overall market trends. Given the variability of the capital markets and securities businesses, our earnings may fluctuate significantly from period to period, and results for any individual period should not be considered indicative of future results.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While the near-term macroeconomic environment remains uncertain, the overall market backdrop continues to be constructive with strong equity markets, solid corporate investment banking activity and a more accommodative regulatory environment. Monetary policy in the U.S. remains a prevalent factor impacting the economy and financial markets. The U.S. Federal Reserve held its short-term benchmark interest rate steady in the first quarter of 2026 as it balances its goals of maximum employment and stable prices against persistent inflation and higher energy prices. Heightened concerns over geopolitical conflicts, including recent escalations in the Middle East, as well as ongoing tensions in Eastern Europe and Taiwan, could negatively impact financial market activity. In addition, higher U.S. tariffs and shifts in trade policy, along with retaliatory actions by global trading partners, including the European Union and China, continue to contribute to elevated financial market uncertainty and upward pressure on inflation and supply chain costs. A significant decrease in uncertainty, or resolutions to geopolitical concerns and trade disputes, would likely be constructive for overall economic conditions, and consequently, our client and business activity.</w:t>
      </w:r>
    </w:p>
    <w:p>
      <w:pPr>
        <w:spacing w:after="0" w:line="20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advisory services results continued to benefit from our broad industry coverage and comprehensive product capabilities as well as an improving market environment for mergers and acquisitions ("M&amp;A") activity. While the pipelines for our industry and product teams remain strong, the timing of these transactions may be influenced by market conditions. We anticipate our second quarter advisory services revenues to be similar to the first quarter.</w:t>
      </w:r>
    </w:p>
    <w:p>
      <w:pPr>
        <w:spacing w:after="0" w:line="20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market environment for equity financings was resilient during the quarter, despite the volatility, particularly within the healthcare sector. We expect our second quarter corporate financing revenues to decline from the strong first quarter of 2026.</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equity brokerage results were strong in the first quarter of 2026 as higher volatility drove increased trading volumes in response to geopolitical events. Our equity brokerage business continues to benefit from the quality of our trade execution and research product as we assist clients in navigating periods of heightened volatility. Our results will continue to be correlated with market volatility and trading volumes. We expect our second quarter equity brokerage revenues to decline from first quarter levels.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fixed income services results were negatively impacted by the volatility, which reduced our client activity during the first quarter of 2026. However, we continued to benefit from bank M&amp;A activity by completing balance sheet restructuring trades. The near-term outlook for fixed income services remains challenging as the ongoing geopolitical developments are keeping many clients on the sidelines.</w:t>
      </w:r>
    </w:p>
    <w:p>
      <w:pPr>
        <w:spacing w:after="0" w:line="21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municipal financing activity declined in the first quarter of 2026 driven by reduced municipal negotiated issuance volumes in our specialty sector business. Our pipeline is strong with clients looking to access the market. We anticipate second quarter municipal financing revenues will improve modestly from the first quarter.</w:t>
      </w:r>
    </w:p>
    <w:p>
      <w:pPr>
        <w:spacing w:after="0" w:line="200" w:lineRule="exact"/>
        <w:rPr>
          <w:sz w:val="20"/>
          <w:szCs w:val="20"/>
          <w:color w:val="auto"/>
        </w:rPr>
      </w:pPr>
    </w:p>
    <w:p>
      <w:pPr>
        <w:spacing w:after="0" w:line="32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MONTHS ENDED MARCH 31, 2026 AND 2025</w:t>
      </w:r>
    </w:p>
    <w:p>
      <w:pPr>
        <w:spacing w:after="0" w:line="195"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The following table provides a summary of the results of our operations on a U.S. GAAP basis and the results of our operations as a percentage of net revenues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4"/>
          </w:tcPr>
          <w:p>
            <w:pPr>
              <w:jc w:val="center"/>
              <w:spacing w:after="0"/>
              <w:rPr>
                <w:sz w:val="20"/>
                <w:szCs w:val="20"/>
                <w:color w:val="auto"/>
              </w:rPr>
            </w:pPr>
            <w:r>
              <w:rPr>
                <w:rFonts w:ascii="Arial" w:cs="Arial" w:eastAsia="Arial" w:hAnsi="Arial"/>
                <w:sz w:val="17"/>
                <w:szCs w:val="17"/>
                <w:b w:val="1"/>
                <w:bCs w:val="1"/>
                <w:color w:val="auto"/>
              </w:rPr>
              <w:t>As a Percentage of</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4"/>
          </w:tcPr>
          <w:p>
            <w:pPr>
              <w:jc w:val="center"/>
              <w:spacing w:after="0"/>
              <w:rPr>
                <w:sz w:val="20"/>
                <w:szCs w:val="20"/>
                <w:color w:val="auto"/>
              </w:rPr>
            </w:pPr>
            <w:r>
              <w:rPr>
                <w:rFonts w:ascii="Arial" w:cs="Arial" w:eastAsia="Arial" w:hAnsi="Arial"/>
                <w:sz w:val="17"/>
                <w:szCs w:val="17"/>
                <w:b w:val="1"/>
                <w:bCs w:val="1"/>
                <w:color w:val="auto"/>
              </w:rPr>
              <w:t>Net Revenues for the</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60" w:type="dxa"/>
            <w:vAlign w:val="bottom"/>
            <w:gridSpan w:val="6"/>
          </w:tcPr>
          <w:p>
            <w:pPr>
              <w:jc w:val="center"/>
              <w:ind w:right="140"/>
              <w:spacing w:after="0"/>
              <w:rPr>
                <w:sz w:val="20"/>
                <w:szCs w:val="20"/>
                <w:color w:val="auto"/>
              </w:rPr>
            </w:pPr>
            <w:r>
              <w:rPr>
                <w:rFonts w:ascii="Arial" w:cs="Arial" w:eastAsia="Arial" w:hAnsi="Arial"/>
                <w:sz w:val="17"/>
                <w:szCs w:val="17"/>
                <w:b w:val="1"/>
                <w:bCs w:val="1"/>
                <w:color w:val="auto"/>
                <w:w w:val="99"/>
              </w:rPr>
              <w:t>Three Months Ended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80" w:type="dxa"/>
            <w:vAlign w:val="bottom"/>
            <w:gridSpan w:val="4"/>
          </w:tcPr>
          <w:p>
            <w:pPr>
              <w:jc w:val="center"/>
              <w:spacing w:after="0"/>
              <w:rPr>
                <w:sz w:val="20"/>
                <w:szCs w:val="20"/>
                <w:color w:val="auto"/>
              </w:rPr>
            </w:pPr>
            <w:r>
              <w:rPr>
                <w:rFonts w:ascii="Arial" w:cs="Arial" w:eastAsia="Arial" w:hAnsi="Arial"/>
                <w:sz w:val="17"/>
                <w:szCs w:val="17"/>
                <w:b w:val="1"/>
                <w:bCs w:val="1"/>
                <w:color w:val="auto"/>
                <w:w w:val="99"/>
              </w:rPr>
              <w:t>Three Months Ended</w:t>
            </w:r>
          </w:p>
        </w:tc>
        <w:tc>
          <w:tcPr>
            <w:tcW w:w="0" w:type="dxa"/>
            <w:vAlign w:val="bottom"/>
          </w:tcPr>
          <w:p>
            <w:pPr>
              <w:spacing w:after="0"/>
              <w:rPr>
                <w:sz w:val="1"/>
                <w:szCs w:val="1"/>
                <w:color w:val="auto"/>
              </w:rPr>
            </w:pPr>
          </w:p>
        </w:tc>
      </w:tr>
      <w:tr>
        <w:trPr>
          <w:trHeight w:val="236"/>
        </w:trPr>
        <w:tc>
          <w:tcPr>
            <w:tcW w:w="4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7"/>
                <w:szCs w:val="17"/>
                <w:b w:val="1"/>
                <w:bCs w:val="1"/>
                <w:color w:val="auto"/>
                <w:w w:val="99"/>
              </w:rPr>
              <w:t>March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tcBorders>
              <w:bottom w:val="single" w:sz="8" w:color="auto"/>
            </w:tcBorders>
            <w:gridSpan w:val="3"/>
          </w:tcPr>
          <w:p>
            <w:pPr>
              <w:jc w:val="center"/>
              <w:ind w:left="875"/>
              <w:spacing w:after="0"/>
              <w:rPr>
                <w:sz w:val="20"/>
                <w:szCs w:val="20"/>
                <w:color w:val="auto"/>
              </w:rPr>
            </w:pPr>
            <w:r>
              <w:rPr>
                <w:rFonts w:ascii="Arial" w:cs="Arial" w:eastAsia="Arial" w:hAnsi="Arial"/>
                <w:sz w:val="17"/>
                <w:szCs w:val="17"/>
                <w:b w:val="1"/>
                <w:bCs w:val="1"/>
                <w:color w:val="auto"/>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ind w:right="415"/>
              <w:spacing w:after="0"/>
              <w:rPr>
                <w:sz w:val="20"/>
                <w:szCs w:val="20"/>
                <w:color w:val="auto"/>
              </w:rPr>
            </w:pPr>
            <w:r>
              <w:rPr>
                <w:rFonts w:ascii="Arial" w:cs="Arial" w:eastAsia="Arial" w:hAnsi="Arial"/>
                <w:sz w:val="17"/>
                <w:szCs w:val="17"/>
                <w:b w:val="1"/>
                <w:bCs w:val="1"/>
                <w:color w:val="auto"/>
              </w:rPr>
              <w:t>2026</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140" w:type="dxa"/>
            <w:vAlign w:val="bottom"/>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280" w:type="dxa"/>
            <w:vAlign w:val="bottom"/>
          </w:tcPr>
          <w:p>
            <w:pPr>
              <w:spacing w:after="0"/>
              <w:rPr>
                <w:sz w:val="20"/>
                <w:szCs w:val="20"/>
                <w:color w:val="auto"/>
              </w:rPr>
            </w:pPr>
          </w:p>
        </w:tc>
        <w:tc>
          <w:tcPr>
            <w:tcW w:w="920" w:type="dxa"/>
            <w:vAlign w:val="bottom"/>
          </w:tcPr>
          <w:p>
            <w:pPr>
              <w:jc w:val="right"/>
              <w:ind w:right="295"/>
              <w:spacing w:after="0"/>
              <w:rPr>
                <w:sz w:val="20"/>
                <w:szCs w:val="20"/>
                <w:color w:val="auto"/>
              </w:rPr>
            </w:pPr>
            <w:r>
              <w:rPr>
                <w:rFonts w:ascii="Arial" w:cs="Arial" w:eastAsia="Arial" w:hAnsi="Arial"/>
                <w:sz w:val="17"/>
                <w:szCs w:val="17"/>
                <w:b w:val="1"/>
                <w:bCs w:val="1"/>
                <w:color w:val="auto"/>
              </w:rPr>
              <w:t>2026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ind w:right="355"/>
              <w:spacing w:after="0"/>
              <w:rPr>
                <w:sz w:val="20"/>
                <w:szCs w:val="20"/>
                <w:color w:val="auto"/>
              </w:rPr>
            </w:pPr>
            <w:r>
              <w:rPr>
                <w:rFonts w:ascii="Arial" w:cs="Arial" w:eastAsia="Arial" w:hAnsi="Arial"/>
                <w:sz w:val="17"/>
                <w:szCs w:val="17"/>
                <w:b w:val="1"/>
                <w:bCs w:val="1"/>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rPr>
              <w:t>v2025</w:t>
            </w:r>
          </w:p>
        </w:tc>
        <w:tc>
          <w:tcPr>
            <w:tcW w:w="1400" w:type="dxa"/>
            <w:vAlign w:val="bottom"/>
          </w:tcPr>
          <w:p>
            <w:pPr>
              <w:jc w:val="right"/>
              <w:ind w:right="435"/>
              <w:spacing w:after="0"/>
              <w:rPr>
                <w:sz w:val="20"/>
                <w:szCs w:val="20"/>
                <w:color w:val="auto"/>
              </w:rPr>
            </w:pPr>
            <w:r>
              <w:rPr>
                <w:rFonts w:ascii="Arial" w:cs="Arial" w:eastAsia="Arial" w:hAnsi="Arial"/>
                <w:sz w:val="17"/>
                <w:szCs w:val="17"/>
                <w:b w:val="1"/>
                <w:bCs w:val="1"/>
                <w:color w:val="auto"/>
              </w:rPr>
              <w:t>2026</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ind w:right="415"/>
              <w:spacing w:after="0"/>
              <w:rPr>
                <w:sz w:val="20"/>
                <w:szCs w:val="20"/>
                <w:color w:val="auto"/>
              </w:rPr>
            </w:pPr>
            <w:r>
              <w:rPr>
                <w:rFonts w:ascii="Arial" w:cs="Arial" w:eastAsia="Arial" w:hAnsi="Arial"/>
                <w:sz w:val="17"/>
                <w:szCs w:val="17"/>
                <w:b w:val="1"/>
                <w:bCs w:val="1"/>
                <w:color w:val="auto"/>
              </w:rPr>
              <w:t>2025</w:t>
            </w:r>
          </w:p>
        </w:tc>
        <w:tc>
          <w:tcPr>
            <w:tcW w:w="0" w:type="dxa"/>
            <w:vAlign w:val="bottom"/>
          </w:tcPr>
          <w:p>
            <w:pPr>
              <w:spacing w:after="0"/>
              <w:rPr>
                <w:sz w:val="1"/>
                <w:szCs w:val="1"/>
                <w:color w:val="auto"/>
              </w:rPr>
            </w:pPr>
          </w:p>
        </w:tc>
      </w:tr>
      <w:tr>
        <w:trPr>
          <w:trHeight w:val="211"/>
        </w:trPr>
        <w:tc>
          <w:tcPr>
            <w:tcW w:w="414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Revenues</w:t>
            </w:r>
          </w:p>
        </w:tc>
        <w:tc>
          <w:tcPr>
            <w:tcW w:w="280" w:type="dxa"/>
            <w:vAlign w:val="bottom"/>
            <w:tcBorders>
              <w:top w:val="single" w:sz="8" w:color="auto"/>
            </w:tcBorders>
            <w:shd w:val="clear" w:color="auto" w:fill="F3F3F3"/>
          </w:tcPr>
          <w:p>
            <w:pPr>
              <w:spacing w:after="0"/>
              <w:rPr>
                <w:sz w:val="18"/>
                <w:szCs w:val="18"/>
                <w:color w:val="auto"/>
              </w:rPr>
            </w:pPr>
          </w:p>
        </w:tc>
        <w:tc>
          <w:tcPr>
            <w:tcW w:w="920" w:type="dxa"/>
            <w:vAlign w:val="bottom"/>
            <w:tcBorders>
              <w:top w:val="single" w:sz="8" w:color="auto"/>
            </w:tcBorders>
            <w:shd w:val="clear" w:color="auto" w:fill="F3F3F3"/>
          </w:tcPr>
          <w:p>
            <w:pPr>
              <w:spacing w:after="0"/>
              <w:rPr>
                <w:sz w:val="18"/>
                <w:szCs w:val="18"/>
                <w:color w:val="auto"/>
              </w:rPr>
            </w:pPr>
          </w:p>
        </w:tc>
        <w:tc>
          <w:tcPr>
            <w:tcW w:w="6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220" w:type="dxa"/>
            <w:vAlign w:val="bottom"/>
            <w:tcBorders>
              <w:top w:val="single" w:sz="8" w:color="auto"/>
            </w:tcBorders>
            <w:shd w:val="clear" w:color="auto" w:fill="F3F3F3"/>
          </w:tcPr>
          <w:p>
            <w:pPr>
              <w:spacing w:after="0"/>
              <w:rPr>
                <w:sz w:val="18"/>
                <w:szCs w:val="18"/>
                <w:color w:val="auto"/>
              </w:rPr>
            </w:pPr>
          </w:p>
        </w:tc>
        <w:tc>
          <w:tcPr>
            <w:tcW w:w="106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320" w:type="dxa"/>
            <w:vAlign w:val="bottom"/>
            <w:tcBorders>
              <w:top w:val="single" w:sz="8" w:color="auto"/>
            </w:tcBorders>
            <w:shd w:val="clear" w:color="auto" w:fill="F3F3F3"/>
          </w:tcPr>
          <w:p>
            <w:pPr>
              <w:spacing w:after="0"/>
              <w:rPr>
                <w:sz w:val="18"/>
                <w:szCs w:val="18"/>
                <w:color w:val="auto"/>
              </w:rPr>
            </w:pPr>
          </w:p>
        </w:tc>
        <w:tc>
          <w:tcPr>
            <w:tcW w:w="106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1400" w:type="dxa"/>
            <w:vAlign w:val="bottom"/>
            <w:tcBorders>
              <w:top w:val="single" w:sz="8" w:color="auto"/>
            </w:tcBorders>
            <w:shd w:val="clear" w:color="auto" w:fill="F3F3F3"/>
          </w:tcPr>
          <w:p>
            <w:pPr>
              <w:spacing w:after="0"/>
              <w:rPr>
                <w:sz w:val="18"/>
                <w:szCs w:val="18"/>
                <w:color w:val="auto"/>
              </w:rPr>
            </w:pPr>
          </w:p>
        </w:tc>
        <w:tc>
          <w:tcPr>
            <w:tcW w:w="80" w:type="dxa"/>
            <w:vAlign w:val="bottom"/>
            <w:tcBorders>
              <w:top w:val="single" w:sz="8" w:color="F3F3F3"/>
            </w:tcBorders>
            <w:shd w:val="clear" w:color="auto" w:fill="F3F3F3"/>
          </w:tcPr>
          <w:p>
            <w:pPr>
              <w:spacing w:after="0"/>
              <w:rPr>
                <w:sz w:val="18"/>
                <w:szCs w:val="18"/>
                <w:color w:val="auto"/>
              </w:rPr>
            </w:pPr>
          </w:p>
        </w:tc>
        <w:tc>
          <w:tcPr>
            <w:tcW w:w="440" w:type="dxa"/>
            <w:vAlign w:val="bottom"/>
            <w:tcBorders>
              <w:top w:val="single" w:sz="8" w:color="auto"/>
            </w:tcBorders>
            <w:shd w:val="clear" w:color="auto" w:fill="F3F3F3"/>
          </w:tcPr>
          <w:p>
            <w:pPr>
              <w:spacing w:after="0"/>
              <w:rPr>
                <w:sz w:val="18"/>
                <w:szCs w:val="18"/>
                <w:color w:val="auto"/>
              </w:rPr>
            </w:pPr>
          </w:p>
        </w:tc>
        <w:tc>
          <w:tcPr>
            <w:tcW w:w="960" w:type="dxa"/>
            <w:vAlign w:val="bottom"/>
            <w:tcBorders>
              <w:top w:val="single" w:sz="8" w:color="auto"/>
            </w:tcBorders>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Investment banking:</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F3F3F3"/>
          </w:tcPr>
          <w:p>
            <w:pPr>
              <w:ind w:left="260"/>
              <w:spacing w:after="0"/>
              <w:rPr>
                <w:sz w:val="20"/>
                <w:szCs w:val="20"/>
                <w:color w:val="auto"/>
              </w:rPr>
            </w:pPr>
            <w:r>
              <w:rPr>
                <w:rFonts w:ascii="Arial" w:cs="Arial" w:eastAsia="Arial" w:hAnsi="Arial"/>
                <w:sz w:val="17"/>
                <w:szCs w:val="17"/>
                <w:color w:val="auto"/>
              </w:rPr>
              <w:t>Advisory services</w:t>
            </w:r>
          </w:p>
        </w:tc>
        <w:tc>
          <w:tcPr>
            <w:tcW w:w="280" w:type="dxa"/>
            <w:vAlign w:val="bottom"/>
            <w:shd w:val="clear" w:color="auto" w:fill="F3F3F3"/>
          </w:tcPr>
          <w:p>
            <w:pPr>
              <w:jc w:val="right"/>
              <w:ind w:right="75"/>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250,962</w:t>
            </w:r>
          </w:p>
        </w:tc>
        <w:tc>
          <w:tcPr>
            <w:tcW w:w="380" w:type="dxa"/>
            <w:vAlign w:val="bottom"/>
            <w:gridSpan w:val="3"/>
            <w:shd w:val="clear" w:color="auto" w:fill="F3F3F3"/>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216,800</w:t>
            </w: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15.8 %</w:t>
            </w:r>
          </w:p>
        </w:tc>
        <w:tc>
          <w:tcPr>
            <w:tcW w:w="100" w:type="dxa"/>
            <w:vAlign w:val="bottom"/>
            <w:shd w:val="clear" w:color="auto" w:fill="F3F3F3"/>
          </w:tcPr>
          <w:p>
            <w:pPr>
              <w:spacing w:after="0"/>
              <w:rPr>
                <w:sz w:val="19"/>
                <w:szCs w:val="19"/>
                <w:color w:val="auto"/>
              </w:rPr>
            </w:pPr>
          </w:p>
        </w:tc>
        <w:tc>
          <w:tcPr>
            <w:tcW w:w="140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52.9 %</w:t>
            </w:r>
          </w:p>
        </w:tc>
        <w:tc>
          <w:tcPr>
            <w:tcW w:w="80" w:type="dxa"/>
            <w:vAlign w:val="bottom"/>
            <w:shd w:val="clear" w:color="auto" w:fill="F3F3F3"/>
          </w:tcPr>
          <w:p>
            <w:pPr>
              <w:spacing w:after="0"/>
              <w:rPr>
                <w:sz w:val="19"/>
                <w:szCs w:val="19"/>
                <w:color w:val="auto"/>
              </w:rPr>
            </w:pPr>
          </w:p>
        </w:tc>
        <w:tc>
          <w:tcPr>
            <w:tcW w:w="440" w:type="dxa"/>
            <w:vAlign w:val="bottom"/>
            <w:shd w:val="clear" w:color="auto" w:fill="F3F3F3"/>
          </w:tcPr>
          <w:p>
            <w:pPr>
              <w:spacing w:after="0"/>
              <w:rPr>
                <w:sz w:val="19"/>
                <w:szCs w:val="19"/>
                <w:color w:val="auto"/>
              </w:rPr>
            </w:pPr>
          </w:p>
        </w:tc>
        <w:tc>
          <w:tcPr>
            <w:tcW w:w="9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60.7 %</w:t>
            </w:r>
          </w:p>
        </w:tc>
        <w:tc>
          <w:tcPr>
            <w:tcW w:w="0" w:type="dxa"/>
            <w:vAlign w:val="bottom"/>
          </w:tcPr>
          <w:p>
            <w:pPr>
              <w:spacing w:after="0"/>
              <w:rPr>
                <w:sz w:val="1"/>
                <w:szCs w:val="1"/>
                <w:color w:val="auto"/>
              </w:rPr>
            </w:pPr>
          </w:p>
        </w:tc>
      </w:tr>
      <w:tr>
        <w:trPr>
          <w:trHeight w:val="229"/>
        </w:trPr>
        <w:tc>
          <w:tcPr>
            <w:tcW w:w="4140" w:type="dxa"/>
            <w:vAlign w:val="bottom"/>
          </w:tcPr>
          <w:p>
            <w:pPr>
              <w:ind w:left="260"/>
              <w:spacing w:after="0"/>
              <w:rPr>
                <w:sz w:val="20"/>
                <w:szCs w:val="20"/>
                <w:color w:val="auto"/>
              </w:rPr>
            </w:pPr>
            <w:r>
              <w:rPr>
                <w:rFonts w:ascii="Arial" w:cs="Arial" w:eastAsia="Arial" w:hAnsi="Arial"/>
                <w:sz w:val="17"/>
                <w:szCs w:val="17"/>
                <w:color w:val="auto"/>
              </w:rPr>
              <w:t>Corporate financing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73,315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33,061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color w:val="auto"/>
              </w:rPr>
              <w:t>121.8</w:t>
            </w:r>
          </w:p>
        </w:tc>
        <w:tc>
          <w:tcPr>
            <w:tcW w:w="1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b w:val="1"/>
                <w:bCs w:val="1"/>
                <w:color w:val="auto"/>
              </w:rPr>
              <w:t>15.5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30"/>
        </w:trPr>
        <w:tc>
          <w:tcPr>
            <w:tcW w:w="4140" w:type="dxa"/>
            <w:vAlign w:val="bottom"/>
            <w:shd w:val="clear" w:color="auto" w:fill="F3F3F3"/>
          </w:tcPr>
          <w:p>
            <w:pPr>
              <w:ind w:left="260"/>
              <w:spacing w:after="0"/>
              <w:rPr>
                <w:sz w:val="20"/>
                <w:szCs w:val="20"/>
                <w:color w:val="auto"/>
              </w:rPr>
            </w:pPr>
            <w:r>
              <w:rPr>
                <w:rFonts w:ascii="Arial" w:cs="Arial" w:eastAsia="Arial" w:hAnsi="Arial"/>
                <w:sz w:val="17"/>
                <w:szCs w:val="17"/>
                <w:color w:val="auto"/>
              </w:rPr>
              <w:t>Municipal financing</w:t>
            </w:r>
          </w:p>
        </w:tc>
        <w:tc>
          <w:tcPr>
            <w:tcW w:w="280" w:type="dxa"/>
            <w:vAlign w:val="bottom"/>
            <w:tcBorders>
              <w:bottom w:val="single" w:sz="8" w:color="auto"/>
            </w:tcBorders>
            <w:shd w:val="clear" w:color="auto" w:fill="F3F3F3"/>
          </w:tcPr>
          <w:p>
            <w:pPr>
              <w:spacing w:after="0"/>
              <w:rPr>
                <w:sz w:val="19"/>
                <w:szCs w:val="19"/>
                <w:color w:val="auto"/>
              </w:rPr>
            </w:pPr>
          </w:p>
        </w:tc>
        <w:tc>
          <w:tcPr>
            <w:tcW w:w="9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23,913</w:t>
            </w:r>
          </w:p>
        </w:tc>
        <w:tc>
          <w:tcPr>
            <w:tcW w:w="60" w:type="dxa"/>
            <w:vAlign w:val="bottom"/>
            <w:tcBorders>
              <w:bottom w:val="single" w:sz="8" w:color="auto"/>
            </w:tcBorders>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tcBorders>
              <w:bottom w:val="single" w:sz="8" w:color="auto"/>
            </w:tcBorders>
            <w:shd w:val="clear" w:color="auto" w:fill="F3F3F3"/>
          </w:tcPr>
          <w:p>
            <w:pPr>
              <w:spacing w:after="0"/>
              <w:rPr>
                <w:sz w:val="19"/>
                <w:szCs w:val="19"/>
                <w:color w:val="auto"/>
              </w:rPr>
            </w:pPr>
          </w:p>
        </w:tc>
        <w:tc>
          <w:tcPr>
            <w:tcW w:w="10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26,403</w:t>
            </w:r>
          </w:p>
        </w:tc>
        <w:tc>
          <w:tcPr>
            <w:tcW w:w="100" w:type="dxa"/>
            <w:vAlign w:val="bottom"/>
            <w:shd w:val="clear" w:color="auto" w:fill="F3F3F3"/>
          </w:tcPr>
          <w:p>
            <w:pPr>
              <w:spacing w:after="0"/>
              <w:rPr>
                <w:sz w:val="19"/>
                <w:szCs w:val="19"/>
                <w:color w:val="auto"/>
              </w:rPr>
            </w:pPr>
          </w:p>
        </w:tc>
        <w:tc>
          <w:tcPr>
            <w:tcW w:w="320" w:type="dxa"/>
            <w:vAlign w:val="bottom"/>
            <w:tcBorders>
              <w:bottom w:val="single" w:sz="8" w:color="auto"/>
            </w:tcBorders>
            <w:shd w:val="clear" w:color="auto" w:fill="F3F3F3"/>
          </w:tcPr>
          <w:p>
            <w:pPr>
              <w:spacing w:after="0"/>
              <w:rPr>
                <w:sz w:val="19"/>
                <w:szCs w:val="19"/>
                <w:color w:val="auto"/>
              </w:rPr>
            </w:pPr>
          </w:p>
        </w:tc>
        <w:tc>
          <w:tcPr>
            <w:tcW w:w="1060" w:type="dxa"/>
            <w:vAlign w:val="bottom"/>
            <w:tcBorders>
              <w:bottom w:val="single" w:sz="8" w:color="auto"/>
            </w:tcBorders>
            <w:shd w:val="clear" w:color="auto" w:fill="F3F3F3"/>
          </w:tcPr>
          <w:p>
            <w:pPr>
              <w:jc w:val="right"/>
              <w:ind w:right="75"/>
              <w:spacing w:after="0"/>
              <w:rPr>
                <w:sz w:val="20"/>
                <w:szCs w:val="20"/>
                <w:color w:val="auto"/>
              </w:rPr>
            </w:pPr>
            <w:r>
              <w:rPr>
                <w:rFonts w:ascii="Arial" w:cs="Arial" w:eastAsia="Arial" w:hAnsi="Arial"/>
                <w:sz w:val="17"/>
                <w:szCs w:val="17"/>
                <w:color w:val="auto"/>
              </w:rPr>
              <w:t>(9.4)</w:t>
            </w:r>
          </w:p>
        </w:tc>
        <w:tc>
          <w:tcPr>
            <w:tcW w:w="100" w:type="dxa"/>
            <w:vAlign w:val="bottom"/>
            <w:shd w:val="clear" w:color="auto" w:fill="F3F3F3"/>
          </w:tcPr>
          <w:p>
            <w:pPr>
              <w:spacing w:after="0"/>
              <w:rPr>
                <w:sz w:val="19"/>
                <w:szCs w:val="19"/>
                <w:color w:val="auto"/>
              </w:rPr>
            </w:pPr>
          </w:p>
        </w:tc>
        <w:tc>
          <w:tcPr>
            <w:tcW w:w="1400" w:type="dxa"/>
            <w:vAlign w:val="bottom"/>
            <w:tcBorders>
              <w:bottom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5.0</w:t>
            </w:r>
          </w:p>
        </w:tc>
        <w:tc>
          <w:tcPr>
            <w:tcW w:w="80" w:type="dxa"/>
            <w:vAlign w:val="bottom"/>
            <w:shd w:val="clear" w:color="auto" w:fill="F3F3F3"/>
          </w:tcPr>
          <w:p>
            <w:pPr>
              <w:spacing w:after="0"/>
              <w:rPr>
                <w:sz w:val="19"/>
                <w:szCs w:val="19"/>
                <w:color w:val="auto"/>
              </w:rPr>
            </w:pPr>
          </w:p>
        </w:tc>
        <w:tc>
          <w:tcPr>
            <w:tcW w:w="440" w:type="dxa"/>
            <w:vAlign w:val="bottom"/>
            <w:tcBorders>
              <w:bottom w:val="single" w:sz="8" w:color="auto"/>
            </w:tcBorders>
            <w:shd w:val="clear" w:color="auto" w:fill="F3F3F3"/>
          </w:tcPr>
          <w:p>
            <w:pPr>
              <w:spacing w:after="0"/>
              <w:rPr>
                <w:sz w:val="19"/>
                <w:szCs w:val="19"/>
                <w:color w:val="auto"/>
              </w:rPr>
            </w:pPr>
          </w:p>
        </w:tc>
        <w:tc>
          <w:tcPr>
            <w:tcW w:w="960" w:type="dxa"/>
            <w:vAlign w:val="bottom"/>
            <w:tcBorders>
              <w:bottom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23"/>
        </w:trPr>
        <w:tc>
          <w:tcPr>
            <w:tcW w:w="4140" w:type="dxa"/>
            <w:vAlign w:val="bottom"/>
          </w:tcPr>
          <w:p>
            <w:pPr>
              <w:ind w:left="140"/>
              <w:spacing w:after="0"/>
              <w:rPr>
                <w:sz w:val="20"/>
                <w:szCs w:val="20"/>
                <w:color w:val="auto"/>
              </w:rPr>
            </w:pPr>
            <w:r>
              <w:rPr>
                <w:rFonts w:ascii="Arial" w:cs="Arial" w:eastAsia="Arial" w:hAnsi="Arial"/>
                <w:sz w:val="17"/>
                <w:szCs w:val="17"/>
                <w:b w:val="1"/>
                <w:bCs w:val="1"/>
                <w:color w:val="auto"/>
              </w:rPr>
              <w:t>Total investment banking</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348,190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276,264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color w:val="auto"/>
              </w:rPr>
              <w:t>26.0</w:t>
            </w:r>
          </w:p>
        </w:tc>
        <w:tc>
          <w:tcPr>
            <w:tcW w:w="1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b w:val="1"/>
                <w:bCs w:val="1"/>
                <w:color w:val="auto"/>
              </w:rPr>
              <w:t>73.4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77.3</w:t>
            </w:r>
          </w:p>
        </w:tc>
        <w:tc>
          <w:tcPr>
            <w:tcW w:w="0" w:type="dxa"/>
            <w:vAlign w:val="bottom"/>
          </w:tcPr>
          <w:p>
            <w:pPr>
              <w:spacing w:after="0"/>
              <w:rPr>
                <w:sz w:val="1"/>
                <w:szCs w:val="1"/>
                <w:color w:val="auto"/>
              </w:rPr>
            </w:pPr>
          </w:p>
        </w:tc>
      </w:tr>
      <w:tr>
        <w:trPr>
          <w:trHeight w:val="216"/>
        </w:trPr>
        <w:tc>
          <w:tcPr>
            <w:tcW w:w="4140" w:type="dxa"/>
            <w:vAlign w:val="bottom"/>
            <w:shd w:val="clear" w:color="auto" w:fill="F3F3F3"/>
          </w:tcPr>
          <w:p>
            <w:pPr>
              <w:spacing w:after="0"/>
              <w:rPr>
                <w:sz w:val="18"/>
                <w:szCs w:val="18"/>
                <w:color w:val="auto"/>
              </w:rPr>
            </w:pPr>
          </w:p>
        </w:tc>
        <w:tc>
          <w:tcPr>
            <w:tcW w:w="280" w:type="dxa"/>
            <w:vAlign w:val="bottom"/>
            <w:shd w:val="clear" w:color="auto" w:fill="F3F3F3"/>
          </w:tcPr>
          <w:p>
            <w:pPr>
              <w:spacing w:after="0"/>
              <w:rPr>
                <w:sz w:val="18"/>
                <w:szCs w:val="18"/>
                <w:color w:val="auto"/>
              </w:rPr>
            </w:pPr>
          </w:p>
        </w:tc>
        <w:tc>
          <w:tcPr>
            <w:tcW w:w="920" w:type="dxa"/>
            <w:vAlign w:val="bottom"/>
            <w:shd w:val="clear" w:color="auto" w:fill="F3F3F3"/>
          </w:tcPr>
          <w:p>
            <w:pPr>
              <w:spacing w:after="0"/>
              <w:rPr>
                <w:sz w:val="18"/>
                <w:szCs w:val="18"/>
                <w:color w:val="auto"/>
              </w:rPr>
            </w:pPr>
          </w:p>
        </w:tc>
        <w:tc>
          <w:tcPr>
            <w:tcW w:w="6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220" w:type="dxa"/>
            <w:vAlign w:val="bottom"/>
            <w:shd w:val="clear" w:color="auto" w:fill="F3F3F3"/>
          </w:tcPr>
          <w:p>
            <w:pPr>
              <w:spacing w:after="0"/>
              <w:rPr>
                <w:sz w:val="18"/>
                <w:szCs w:val="18"/>
                <w:color w:val="auto"/>
              </w:rPr>
            </w:pPr>
          </w:p>
        </w:tc>
        <w:tc>
          <w:tcPr>
            <w:tcW w:w="106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320" w:type="dxa"/>
            <w:vAlign w:val="bottom"/>
            <w:shd w:val="clear" w:color="auto" w:fill="F3F3F3"/>
          </w:tcPr>
          <w:p>
            <w:pPr>
              <w:spacing w:after="0"/>
              <w:rPr>
                <w:sz w:val="18"/>
                <w:szCs w:val="18"/>
                <w:color w:val="auto"/>
              </w:rPr>
            </w:pPr>
          </w:p>
        </w:tc>
        <w:tc>
          <w:tcPr>
            <w:tcW w:w="106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1400" w:type="dxa"/>
            <w:vAlign w:val="bottom"/>
            <w:shd w:val="clear" w:color="auto" w:fill="F3F3F3"/>
          </w:tcPr>
          <w:p>
            <w:pPr>
              <w:spacing w:after="0"/>
              <w:rPr>
                <w:sz w:val="18"/>
                <w:szCs w:val="18"/>
                <w:color w:val="auto"/>
              </w:rPr>
            </w:pPr>
          </w:p>
        </w:tc>
        <w:tc>
          <w:tcPr>
            <w:tcW w:w="80" w:type="dxa"/>
            <w:vAlign w:val="bottom"/>
            <w:shd w:val="clear" w:color="auto" w:fill="F3F3F3"/>
          </w:tcPr>
          <w:p>
            <w:pPr>
              <w:spacing w:after="0"/>
              <w:rPr>
                <w:sz w:val="18"/>
                <w:szCs w:val="18"/>
                <w:color w:val="auto"/>
              </w:rPr>
            </w:pPr>
          </w:p>
        </w:tc>
        <w:tc>
          <w:tcPr>
            <w:tcW w:w="440" w:type="dxa"/>
            <w:vAlign w:val="bottom"/>
            <w:shd w:val="clear" w:color="auto" w:fill="F3F3F3"/>
          </w:tcPr>
          <w:p>
            <w:pPr>
              <w:spacing w:after="0"/>
              <w:rPr>
                <w:sz w:val="18"/>
                <w:szCs w:val="18"/>
                <w:color w:val="auto"/>
              </w:rPr>
            </w:pPr>
          </w:p>
        </w:tc>
        <w:tc>
          <w:tcPr>
            <w:tcW w:w="960" w:type="dxa"/>
            <w:vAlign w:val="bottom"/>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Institutional brokerage:</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F3F3F3"/>
          </w:tcPr>
          <w:p>
            <w:pPr>
              <w:ind w:left="260"/>
              <w:spacing w:after="0"/>
              <w:rPr>
                <w:sz w:val="20"/>
                <w:szCs w:val="20"/>
                <w:color w:val="auto"/>
              </w:rPr>
            </w:pPr>
            <w:r>
              <w:rPr>
                <w:rFonts w:ascii="Arial" w:cs="Arial" w:eastAsia="Arial" w:hAnsi="Arial"/>
                <w:sz w:val="17"/>
                <w:szCs w:val="17"/>
                <w:color w:val="auto"/>
              </w:rPr>
              <w:t>Equity brokerage</w:t>
            </w:r>
          </w:p>
        </w:tc>
        <w:tc>
          <w:tcPr>
            <w:tcW w:w="280" w:type="dxa"/>
            <w:vAlign w:val="bottom"/>
            <w:shd w:val="clear" w:color="auto" w:fill="F3F3F3"/>
          </w:tcPr>
          <w:p>
            <w:pPr>
              <w:spacing w:after="0"/>
              <w:rPr>
                <w:sz w:val="19"/>
                <w:szCs w:val="19"/>
                <w:color w:val="auto"/>
              </w:rPr>
            </w:pPr>
          </w:p>
        </w:tc>
        <w:tc>
          <w:tcPr>
            <w:tcW w:w="92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60,470</w:t>
            </w:r>
          </w:p>
        </w:tc>
        <w:tc>
          <w:tcPr>
            <w:tcW w:w="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54,254</w:t>
            </w: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06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11.5</w:t>
            </w:r>
          </w:p>
        </w:tc>
        <w:tc>
          <w:tcPr>
            <w:tcW w:w="100" w:type="dxa"/>
            <w:vAlign w:val="bottom"/>
            <w:shd w:val="clear" w:color="auto" w:fill="F3F3F3"/>
          </w:tcPr>
          <w:p>
            <w:pPr>
              <w:spacing w:after="0"/>
              <w:rPr>
                <w:sz w:val="19"/>
                <w:szCs w:val="19"/>
                <w:color w:val="auto"/>
              </w:rPr>
            </w:pP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12.7</w:t>
            </w:r>
          </w:p>
        </w:tc>
        <w:tc>
          <w:tcPr>
            <w:tcW w:w="80" w:type="dxa"/>
            <w:vAlign w:val="bottom"/>
            <w:shd w:val="clear" w:color="auto" w:fill="F3F3F3"/>
          </w:tcPr>
          <w:p>
            <w:pPr>
              <w:spacing w:after="0"/>
              <w:rPr>
                <w:sz w:val="19"/>
                <w:szCs w:val="19"/>
                <w:color w:val="auto"/>
              </w:rPr>
            </w:pPr>
          </w:p>
        </w:tc>
        <w:tc>
          <w:tcPr>
            <w:tcW w:w="440" w:type="dxa"/>
            <w:vAlign w:val="bottom"/>
            <w:shd w:val="clear" w:color="auto" w:fill="F3F3F3"/>
          </w:tcPr>
          <w:p>
            <w:pPr>
              <w:spacing w:after="0"/>
              <w:rPr>
                <w:sz w:val="19"/>
                <w:szCs w:val="19"/>
                <w:color w:val="auto"/>
              </w:rPr>
            </w:pPr>
          </w:p>
        </w:tc>
        <w:tc>
          <w:tcPr>
            <w:tcW w:w="96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F3F3F3"/>
            </w:tcBorders>
          </w:tcPr>
          <w:p>
            <w:pPr>
              <w:ind w:left="260"/>
              <w:spacing w:after="0"/>
              <w:rPr>
                <w:sz w:val="20"/>
                <w:szCs w:val="20"/>
                <w:color w:val="auto"/>
              </w:rPr>
            </w:pPr>
            <w:r>
              <w:rPr>
                <w:rFonts w:ascii="Arial" w:cs="Arial" w:eastAsia="Arial" w:hAnsi="Arial"/>
                <w:sz w:val="17"/>
                <w:szCs w:val="17"/>
                <w:color w:val="auto"/>
              </w:rPr>
              <w:t>Fixed income services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50,375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F3F3F3"/>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47,670</w:t>
            </w:r>
          </w:p>
        </w:tc>
        <w:tc>
          <w:tcPr>
            <w:tcW w:w="100" w:type="dxa"/>
            <w:vAlign w:val="bottom"/>
            <w:tcBorders>
              <w:bottom w:val="single" w:sz="8" w:color="F3F3F3"/>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5.7</w:t>
            </w:r>
          </w:p>
        </w:tc>
        <w:tc>
          <w:tcPr>
            <w:tcW w:w="100" w:type="dxa"/>
            <w:vAlign w:val="bottom"/>
            <w:tcBorders>
              <w:bottom w:val="single" w:sz="8" w:color="F3F3F3"/>
            </w:tcBorders>
          </w:tcPr>
          <w:p>
            <w:pPr>
              <w:spacing w:after="0"/>
              <w:rPr>
                <w:sz w:val="19"/>
                <w:szCs w:val="19"/>
                <w:color w:val="auto"/>
              </w:rPr>
            </w:pPr>
          </w:p>
        </w:tc>
        <w:tc>
          <w:tcPr>
            <w:tcW w:w="1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10.6</w:t>
            </w:r>
          </w:p>
        </w:tc>
        <w:tc>
          <w:tcPr>
            <w:tcW w:w="80" w:type="dxa"/>
            <w:vAlign w:val="bottom"/>
            <w:tcBorders>
              <w:bottom w:val="single" w:sz="8" w:color="F3F3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13.3</w:t>
            </w:r>
          </w:p>
        </w:tc>
        <w:tc>
          <w:tcPr>
            <w:tcW w:w="0" w:type="dxa"/>
            <w:vAlign w:val="bottom"/>
          </w:tcPr>
          <w:p>
            <w:pPr>
              <w:spacing w:after="0"/>
              <w:rPr>
                <w:sz w:val="1"/>
                <w:szCs w:val="1"/>
                <w:color w:val="auto"/>
              </w:rPr>
            </w:pPr>
          </w:p>
        </w:tc>
      </w:tr>
      <w:tr>
        <w:trPr>
          <w:trHeight w:val="223"/>
        </w:trPr>
        <w:tc>
          <w:tcPr>
            <w:tcW w:w="4140" w:type="dxa"/>
            <w:vAlign w:val="bottom"/>
            <w:shd w:val="clear" w:color="auto" w:fill="F3F3F3"/>
          </w:tcPr>
          <w:p>
            <w:pPr>
              <w:ind w:left="140"/>
              <w:spacing w:after="0"/>
              <w:rPr>
                <w:sz w:val="20"/>
                <w:szCs w:val="20"/>
                <w:color w:val="auto"/>
              </w:rPr>
            </w:pPr>
            <w:r>
              <w:rPr>
                <w:rFonts w:ascii="Arial" w:cs="Arial" w:eastAsia="Arial" w:hAnsi="Arial"/>
                <w:sz w:val="17"/>
                <w:szCs w:val="17"/>
                <w:b w:val="1"/>
                <w:bCs w:val="1"/>
                <w:color w:val="auto"/>
              </w:rPr>
              <w:t>Total institutional brokerage</w:t>
            </w:r>
          </w:p>
        </w:tc>
        <w:tc>
          <w:tcPr>
            <w:tcW w:w="280" w:type="dxa"/>
            <w:vAlign w:val="bottom"/>
            <w:shd w:val="clear" w:color="auto" w:fill="F3F3F3"/>
          </w:tcPr>
          <w:p>
            <w:pPr>
              <w:spacing w:after="0"/>
              <w:rPr>
                <w:sz w:val="19"/>
                <w:szCs w:val="19"/>
                <w:color w:val="auto"/>
              </w:rPr>
            </w:pPr>
          </w:p>
        </w:tc>
        <w:tc>
          <w:tcPr>
            <w:tcW w:w="92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110,845</w:t>
            </w:r>
          </w:p>
        </w:tc>
        <w:tc>
          <w:tcPr>
            <w:tcW w:w="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101,924</w:t>
            </w: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06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8.8</w:t>
            </w:r>
          </w:p>
        </w:tc>
        <w:tc>
          <w:tcPr>
            <w:tcW w:w="100" w:type="dxa"/>
            <w:vAlign w:val="bottom"/>
            <w:shd w:val="clear" w:color="auto" w:fill="F3F3F3"/>
          </w:tcPr>
          <w:p>
            <w:pPr>
              <w:spacing w:after="0"/>
              <w:rPr>
                <w:sz w:val="19"/>
                <w:szCs w:val="19"/>
                <w:color w:val="auto"/>
              </w:rPr>
            </w:pP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23.4</w:t>
            </w:r>
          </w:p>
        </w:tc>
        <w:tc>
          <w:tcPr>
            <w:tcW w:w="80" w:type="dxa"/>
            <w:vAlign w:val="bottom"/>
            <w:shd w:val="clear" w:color="auto" w:fill="F3F3F3"/>
          </w:tcPr>
          <w:p>
            <w:pPr>
              <w:spacing w:after="0"/>
              <w:rPr>
                <w:sz w:val="19"/>
                <w:szCs w:val="19"/>
                <w:color w:val="auto"/>
              </w:rPr>
            </w:pPr>
          </w:p>
        </w:tc>
        <w:tc>
          <w:tcPr>
            <w:tcW w:w="440" w:type="dxa"/>
            <w:vAlign w:val="bottom"/>
            <w:shd w:val="clear" w:color="auto" w:fill="F3F3F3"/>
          </w:tcPr>
          <w:p>
            <w:pPr>
              <w:spacing w:after="0"/>
              <w:rPr>
                <w:sz w:val="19"/>
                <w:szCs w:val="19"/>
                <w:color w:val="auto"/>
              </w:rPr>
            </w:pPr>
          </w:p>
        </w:tc>
        <w:tc>
          <w:tcPr>
            <w:tcW w:w="96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28.5</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Interest income</w:t>
            </w:r>
          </w:p>
        </w:tc>
        <w:tc>
          <w:tcPr>
            <w:tcW w:w="280" w:type="dxa"/>
            <w:vAlign w:val="bottom"/>
            <w:shd w:val="clear" w:color="auto" w:fill="F3F3F3"/>
          </w:tcPr>
          <w:p>
            <w:pPr>
              <w:spacing w:after="0"/>
              <w:rPr>
                <w:sz w:val="19"/>
                <w:szCs w:val="19"/>
                <w:color w:val="auto"/>
              </w:rPr>
            </w:pPr>
          </w:p>
        </w:tc>
        <w:tc>
          <w:tcPr>
            <w:tcW w:w="92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11,646</w:t>
            </w:r>
          </w:p>
        </w:tc>
        <w:tc>
          <w:tcPr>
            <w:tcW w:w="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9,963</w:t>
            </w: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06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16.9</w:t>
            </w:r>
          </w:p>
        </w:tc>
        <w:tc>
          <w:tcPr>
            <w:tcW w:w="100" w:type="dxa"/>
            <w:vAlign w:val="bottom"/>
            <w:shd w:val="clear" w:color="auto" w:fill="F3F3F3"/>
          </w:tcPr>
          <w:p>
            <w:pPr>
              <w:spacing w:after="0"/>
              <w:rPr>
                <w:sz w:val="19"/>
                <w:szCs w:val="19"/>
                <w:color w:val="auto"/>
              </w:rPr>
            </w:pP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2.5</w:t>
            </w:r>
          </w:p>
        </w:tc>
        <w:tc>
          <w:tcPr>
            <w:tcW w:w="80" w:type="dxa"/>
            <w:vAlign w:val="bottom"/>
            <w:shd w:val="clear" w:color="auto" w:fill="F3F3F3"/>
          </w:tcPr>
          <w:p>
            <w:pPr>
              <w:spacing w:after="0"/>
              <w:rPr>
                <w:sz w:val="19"/>
                <w:szCs w:val="19"/>
                <w:color w:val="auto"/>
              </w:rPr>
            </w:pPr>
          </w:p>
        </w:tc>
        <w:tc>
          <w:tcPr>
            <w:tcW w:w="440" w:type="dxa"/>
            <w:vAlign w:val="bottom"/>
            <w:shd w:val="clear" w:color="auto" w:fill="F3F3F3"/>
          </w:tcPr>
          <w:p>
            <w:pPr>
              <w:spacing w:after="0"/>
              <w:rPr>
                <w:sz w:val="19"/>
                <w:szCs w:val="19"/>
                <w:color w:val="auto"/>
              </w:rPr>
            </w:pPr>
          </w:p>
        </w:tc>
        <w:tc>
          <w:tcPr>
            <w:tcW w:w="96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7"/>
                <w:szCs w:val="17"/>
                <w:color w:val="auto"/>
              </w:rPr>
              <w:t>Investment income/(loss)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4,464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(29,597)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ind w:left="520"/>
              <w:spacing w:after="0"/>
              <w:rPr>
                <w:sz w:val="20"/>
                <w:szCs w:val="20"/>
                <w:color w:val="auto"/>
              </w:rPr>
            </w:pPr>
            <w:r>
              <w:rPr>
                <w:rFonts w:ascii="Arial" w:cs="Arial" w:eastAsia="Arial" w:hAnsi="Arial"/>
                <w:sz w:val="17"/>
                <w:szCs w:val="17"/>
                <w:color w:val="auto"/>
              </w:rPr>
              <w:t>N/M</w:t>
            </w:r>
          </w:p>
        </w:tc>
        <w:tc>
          <w:tcPr>
            <w:tcW w:w="1400" w:type="dxa"/>
            <w:vAlign w:val="bottom"/>
          </w:tcPr>
          <w:p>
            <w:pPr>
              <w:jc w:val="right"/>
              <w:ind w:right="135"/>
              <w:spacing w:after="0"/>
              <w:rPr>
                <w:sz w:val="20"/>
                <w:szCs w:val="20"/>
                <w:color w:val="auto"/>
              </w:rPr>
            </w:pPr>
            <w:r>
              <w:rPr>
                <w:rFonts w:ascii="Arial" w:cs="Arial" w:eastAsia="Arial" w:hAnsi="Arial"/>
                <w:sz w:val="17"/>
                <w:szCs w:val="17"/>
                <w:b w:val="1"/>
                <w:bCs w:val="1"/>
                <w:color w:val="auto"/>
              </w:rPr>
              <w:t>0.9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223"/>
        </w:trPr>
        <w:tc>
          <w:tcPr>
            <w:tcW w:w="414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Total revenues</w:t>
            </w:r>
          </w:p>
        </w:tc>
        <w:tc>
          <w:tcPr>
            <w:tcW w:w="280" w:type="dxa"/>
            <w:vAlign w:val="bottom"/>
            <w:tcBorders>
              <w:top w:val="single" w:sz="8" w:color="auto"/>
            </w:tcBorders>
            <w:shd w:val="clear" w:color="auto" w:fill="F3F3F3"/>
          </w:tcPr>
          <w:p>
            <w:pPr>
              <w:spacing w:after="0"/>
              <w:rPr>
                <w:sz w:val="19"/>
                <w:szCs w:val="19"/>
                <w:color w:val="auto"/>
              </w:rPr>
            </w:pPr>
          </w:p>
        </w:tc>
        <w:tc>
          <w:tcPr>
            <w:tcW w:w="92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475,145</w:t>
            </w:r>
          </w:p>
        </w:tc>
        <w:tc>
          <w:tcPr>
            <w:tcW w:w="60" w:type="dxa"/>
            <w:vAlign w:val="bottom"/>
            <w:tcBorders>
              <w:top w:val="single" w:sz="8" w:color="auto"/>
            </w:tcBorders>
            <w:shd w:val="clear" w:color="auto" w:fill="F3F3F3"/>
          </w:tcPr>
          <w:p>
            <w:pPr>
              <w:spacing w:after="0"/>
              <w:rPr>
                <w:sz w:val="19"/>
                <w:szCs w:val="19"/>
                <w:color w:val="auto"/>
              </w:rPr>
            </w:pPr>
          </w:p>
        </w:tc>
        <w:tc>
          <w:tcPr>
            <w:tcW w:w="100" w:type="dxa"/>
            <w:vAlign w:val="bottom"/>
            <w:tcBorders>
              <w:top w:val="single" w:sz="8" w:color="F3F3F3"/>
            </w:tcBorders>
            <w:shd w:val="clear" w:color="auto" w:fill="F3F3F3"/>
          </w:tcPr>
          <w:p>
            <w:pPr>
              <w:spacing w:after="0"/>
              <w:rPr>
                <w:sz w:val="19"/>
                <w:szCs w:val="19"/>
                <w:color w:val="auto"/>
              </w:rPr>
            </w:pPr>
          </w:p>
        </w:tc>
        <w:tc>
          <w:tcPr>
            <w:tcW w:w="220" w:type="dxa"/>
            <w:vAlign w:val="bottom"/>
            <w:tcBorders>
              <w:top w:val="single" w:sz="8" w:color="auto"/>
            </w:tcBorders>
            <w:shd w:val="clear" w:color="auto" w:fill="F3F3F3"/>
          </w:tcPr>
          <w:p>
            <w:pPr>
              <w:spacing w:after="0"/>
              <w:rPr>
                <w:sz w:val="19"/>
                <w:szCs w:val="19"/>
                <w:color w:val="auto"/>
              </w:rPr>
            </w:pPr>
          </w:p>
        </w:tc>
        <w:tc>
          <w:tcPr>
            <w:tcW w:w="106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358,554</w:t>
            </w:r>
          </w:p>
        </w:tc>
        <w:tc>
          <w:tcPr>
            <w:tcW w:w="100" w:type="dxa"/>
            <w:vAlign w:val="bottom"/>
            <w:tcBorders>
              <w:top w:val="single" w:sz="8" w:color="F3F3F3"/>
            </w:tcBorders>
            <w:shd w:val="clear" w:color="auto" w:fill="F3F3F3"/>
          </w:tcPr>
          <w:p>
            <w:pPr>
              <w:spacing w:after="0"/>
              <w:rPr>
                <w:sz w:val="19"/>
                <w:szCs w:val="19"/>
                <w:color w:val="auto"/>
              </w:rPr>
            </w:pPr>
          </w:p>
        </w:tc>
        <w:tc>
          <w:tcPr>
            <w:tcW w:w="320" w:type="dxa"/>
            <w:vAlign w:val="bottom"/>
            <w:tcBorders>
              <w:top w:val="single" w:sz="8" w:color="auto"/>
            </w:tcBorders>
            <w:shd w:val="clear" w:color="auto" w:fill="F3F3F3"/>
          </w:tcPr>
          <w:p>
            <w:pPr>
              <w:spacing w:after="0"/>
              <w:rPr>
                <w:sz w:val="19"/>
                <w:szCs w:val="19"/>
                <w:color w:val="auto"/>
              </w:rPr>
            </w:pPr>
          </w:p>
        </w:tc>
        <w:tc>
          <w:tcPr>
            <w:tcW w:w="1060" w:type="dxa"/>
            <w:vAlign w:val="bottom"/>
            <w:tcBorders>
              <w:top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color w:val="auto"/>
              </w:rPr>
              <w:t>32.5</w:t>
            </w:r>
          </w:p>
        </w:tc>
        <w:tc>
          <w:tcPr>
            <w:tcW w:w="100" w:type="dxa"/>
            <w:vAlign w:val="bottom"/>
            <w:tcBorders>
              <w:top w:val="single" w:sz="8" w:color="F3F3F3"/>
            </w:tcBorders>
            <w:shd w:val="clear" w:color="auto" w:fill="F3F3F3"/>
          </w:tcPr>
          <w:p>
            <w:pPr>
              <w:spacing w:after="0"/>
              <w:rPr>
                <w:sz w:val="19"/>
                <w:szCs w:val="19"/>
                <w:color w:val="auto"/>
              </w:rPr>
            </w:pPr>
          </w:p>
        </w:tc>
        <w:tc>
          <w:tcPr>
            <w:tcW w:w="1400" w:type="dxa"/>
            <w:vAlign w:val="bottom"/>
            <w:tcBorders>
              <w:top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100.2</w:t>
            </w:r>
          </w:p>
        </w:tc>
        <w:tc>
          <w:tcPr>
            <w:tcW w:w="80" w:type="dxa"/>
            <w:vAlign w:val="bottom"/>
            <w:tcBorders>
              <w:top w:val="single" w:sz="8" w:color="F3F3F3"/>
            </w:tcBorders>
            <w:shd w:val="clear" w:color="auto" w:fill="F3F3F3"/>
          </w:tcPr>
          <w:p>
            <w:pPr>
              <w:spacing w:after="0"/>
              <w:rPr>
                <w:sz w:val="19"/>
                <w:szCs w:val="19"/>
                <w:color w:val="auto"/>
              </w:rPr>
            </w:pPr>
          </w:p>
        </w:tc>
        <w:tc>
          <w:tcPr>
            <w:tcW w:w="440" w:type="dxa"/>
            <w:vAlign w:val="bottom"/>
            <w:tcBorders>
              <w:top w:val="single" w:sz="8" w:color="auto"/>
            </w:tcBorders>
            <w:shd w:val="clear" w:color="auto" w:fill="F3F3F3"/>
          </w:tcPr>
          <w:p>
            <w:pPr>
              <w:spacing w:after="0"/>
              <w:rPr>
                <w:sz w:val="19"/>
                <w:szCs w:val="19"/>
                <w:color w:val="auto"/>
              </w:rPr>
            </w:pPr>
          </w:p>
        </w:tc>
        <w:tc>
          <w:tcPr>
            <w:tcW w:w="960" w:type="dxa"/>
            <w:vAlign w:val="bottom"/>
            <w:tcBorders>
              <w:top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color w:val="auto"/>
              </w:rPr>
              <w:t>100.4</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F3F3F3"/>
            </w:tcBorders>
          </w:tcPr>
          <w:p>
            <w:pPr>
              <w:ind w:left="140"/>
              <w:spacing w:after="0"/>
              <w:rPr>
                <w:sz w:val="20"/>
                <w:szCs w:val="20"/>
                <w:color w:val="auto"/>
              </w:rPr>
            </w:pPr>
            <w:r>
              <w:rPr>
                <w:rFonts w:ascii="Arial" w:cs="Arial" w:eastAsia="Arial" w:hAnsi="Arial"/>
                <w:sz w:val="17"/>
                <w:szCs w:val="17"/>
                <w:color w:val="auto"/>
              </w:rPr>
              <w:t>Interest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736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F3F3F3"/>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1,282</w:t>
            </w:r>
          </w:p>
        </w:tc>
        <w:tc>
          <w:tcPr>
            <w:tcW w:w="100" w:type="dxa"/>
            <w:vAlign w:val="bottom"/>
            <w:tcBorders>
              <w:bottom w:val="single" w:sz="8" w:color="F3F3F3"/>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(42.6)</w:t>
            </w:r>
          </w:p>
        </w:tc>
        <w:tc>
          <w:tcPr>
            <w:tcW w:w="100" w:type="dxa"/>
            <w:vAlign w:val="bottom"/>
            <w:tcBorders>
              <w:bottom w:val="single" w:sz="8" w:color="F3F3F3"/>
            </w:tcBorders>
          </w:tcPr>
          <w:p>
            <w:pPr>
              <w:spacing w:after="0"/>
              <w:rPr>
                <w:sz w:val="19"/>
                <w:szCs w:val="19"/>
                <w:color w:val="auto"/>
              </w:rPr>
            </w:pPr>
          </w:p>
        </w:tc>
        <w:tc>
          <w:tcPr>
            <w:tcW w:w="1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0.2</w:t>
            </w:r>
          </w:p>
        </w:tc>
        <w:tc>
          <w:tcPr>
            <w:tcW w:w="80" w:type="dxa"/>
            <w:vAlign w:val="bottom"/>
            <w:tcBorders>
              <w:bottom w:val="single" w:sz="8" w:color="F3F3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0.4</w:t>
            </w:r>
          </w:p>
        </w:tc>
        <w:tc>
          <w:tcPr>
            <w:tcW w:w="0" w:type="dxa"/>
            <w:vAlign w:val="bottom"/>
          </w:tcPr>
          <w:p>
            <w:pPr>
              <w:spacing w:after="0"/>
              <w:rPr>
                <w:sz w:val="1"/>
                <w:szCs w:val="1"/>
                <w:color w:val="auto"/>
              </w:rPr>
            </w:pPr>
          </w:p>
        </w:tc>
      </w:tr>
      <w:tr>
        <w:trPr>
          <w:trHeight w:val="223"/>
        </w:trPr>
        <w:tc>
          <w:tcPr>
            <w:tcW w:w="414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Net revenues</w:t>
            </w:r>
          </w:p>
        </w:tc>
        <w:tc>
          <w:tcPr>
            <w:tcW w:w="280" w:type="dxa"/>
            <w:vAlign w:val="bottom"/>
            <w:tcBorders>
              <w:bottom w:val="single" w:sz="8" w:color="auto"/>
            </w:tcBorders>
            <w:shd w:val="clear" w:color="auto" w:fill="F3F3F3"/>
          </w:tcPr>
          <w:p>
            <w:pPr>
              <w:spacing w:after="0"/>
              <w:rPr>
                <w:sz w:val="19"/>
                <w:szCs w:val="19"/>
                <w:color w:val="auto"/>
              </w:rPr>
            </w:pPr>
          </w:p>
        </w:tc>
        <w:tc>
          <w:tcPr>
            <w:tcW w:w="9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474,409</w:t>
            </w:r>
          </w:p>
        </w:tc>
        <w:tc>
          <w:tcPr>
            <w:tcW w:w="60" w:type="dxa"/>
            <w:vAlign w:val="bottom"/>
            <w:tcBorders>
              <w:bottom w:val="single" w:sz="8" w:color="auto"/>
            </w:tcBorders>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tcBorders>
              <w:bottom w:val="single" w:sz="8" w:color="auto"/>
            </w:tcBorders>
            <w:shd w:val="clear" w:color="auto" w:fill="F3F3F3"/>
          </w:tcPr>
          <w:p>
            <w:pPr>
              <w:spacing w:after="0"/>
              <w:rPr>
                <w:sz w:val="19"/>
                <w:szCs w:val="19"/>
                <w:color w:val="auto"/>
              </w:rPr>
            </w:pPr>
          </w:p>
        </w:tc>
        <w:tc>
          <w:tcPr>
            <w:tcW w:w="10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357,272</w:t>
            </w:r>
          </w:p>
        </w:tc>
        <w:tc>
          <w:tcPr>
            <w:tcW w:w="100" w:type="dxa"/>
            <w:vAlign w:val="bottom"/>
            <w:shd w:val="clear" w:color="auto" w:fill="F3F3F3"/>
          </w:tcPr>
          <w:p>
            <w:pPr>
              <w:spacing w:after="0"/>
              <w:rPr>
                <w:sz w:val="19"/>
                <w:szCs w:val="19"/>
                <w:color w:val="auto"/>
              </w:rPr>
            </w:pPr>
          </w:p>
        </w:tc>
        <w:tc>
          <w:tcPr>
            <w:tcW w:w="320" w:type="dxa"/>
            <w:vAlign w:val="bottom"/>
            <w:tcBorders>
              <w:bottom w:val="single" w:sz="8" w:color="auto"/>
            </w:tcBorders>
            <w:shd w:val="clear" w:color="auto" w:fill="F3F3F3"/>
          </w:tcPr>
          <w:p>
            <w:pPr>
              <w:spacing w:after="0"/>
              <w:rPr>
                <w:sz w:val="19"/>
                <w:szCs w:val="19"/>
                <w:color w:val="auto"/>
              </w:rPr>
            </w:pPr>
          </w:p>
        </w:tc>
        <w:tc>
          <w:tcPr>
            <w:tcW w:w="1060" w:type="dxa"/>
            <w:vAlign w:val="bottom"/>
            <w:tcBorders>
              <w:bottom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color w:val="auto"/>
              </w:rPr>
              <w:t>32.8</w:t>
            </w:r>
          </w:p>
        </w:tc>
        <w:tc>
          <w:tcPr>
            <w:tcW w:w="100" w:type="dxa"/>
            <w:vAlign w:val="bottom"/>
            <w:shd w:val="clear" w:color="auto" w:fill="F3F3F3"/>
          </w:tcPr>
          <w:p>
            <w:pPr>
              <w:spacing w:after="0"/>
              <w:rPr>
                <w:sz w:val="19"/>
                <w:szCs w:val="19"/>
                <w:color w:val="auto"/>
              </w:rPr>
            </w:pPr>
          </w:p>
        </w:tc>
        <w:tc>
          <w:tcPr>
            <w:tcW w:w="1400" w:type="dxa"/>
            <w:vAlign w:val="bottom"/>
            <w:tcBorders>
              <w:bottom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100.0</w:t>
            </w:r>
          </w:p>
        </w:tc>
        <w:tc>
          <w:tcPr>
            <w:tcW w:w="80" w:type="dxa"/>
            <w:vAlign w:val="bottom"/>
            <w:shd w:val="clear" w:color="auto" w:fill="F3F3F3"/>
          </w:tcPr>
          <w:p>
            <w:pPr>
              <w:spacing w:after="0"/>
              <w:rPr>
                <w:sz w:val="19"/>
                <w:szCs w:val="19"/>
                <w:color w:val="auto"/>
              </w:rPr>
            </w:pPr>
          </w:p>
        </w:tc>
        <w:tc>
          <w:tcPr>
            <w:tcW w:w="440" w:type="dxa"/>
            <w:vAlign w:val="bottom"/>
            <w:tcBorders>
              <w:bottom w:val="single" w:sz="8" w:color="auto"/>
            </w:tcBorders>
            <w:shd w:val="clear" w:color="auto" w:fill="F3F3F3"/>
          </w:tcPr>
          <w:p>
            <w:pPr>
              <w:spacing w:after="0"/>
              <w:rPr>
                <w:sz w:val="19"/>
                <w:szCs w:val="19"/>
                <w:color w:val="auto"/>
              </w:rPr>
            </w:pPr>
          </w:p>
        </w:tc>
        <w:tc>
          <w:tcPr>
            <w:tcW w:w="960" w:type="dxa"/>
            <w:vAlign w:val="bottom"/>
            <w:tcBorders>
              <w:bottom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196"/>
        </w:trPr>
        <w:tc>
          <w:tcPr>
            <w:tcW w:w="4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Non-interest expenses (1)</w:t>
            </w:r>
          </w:p>
        </w:tc>
        <w:tc>
          <w:tcPr>
            <w:tcW w:w="280" w:type="dxa"/>
            <w:vAlign w:val="bottom"/>
            <w:shd w:val="clear" w:color="auto" w:fill="F3F3F3"/>
          </w:tcPr>
          <w:p>
            <w:pPr>
              <w:spacing w:after="0"/>
              <w:rPr>
                <w:sz w:val="19"/>
                <w:szCs w:val="19"/>
                <w:color w:val="auto"/>
              </w:rPr>
            </w:pPr>
          </w:p>
        </w:tc>
        <w:tc>
          <w:tcPr>
            <w:tcW w:w="920" w:type="dxa"/>
            <w:vAlign w:val="bottom"/>
            <w:shd w:val="clear" w:color="auto" w:fill="F3F3F3"/>
          </w:tcPr>
          <w:p>
            <w:pPr>
              <w:spacing w:after="0"/>
              <w:rPr>
                <w:sz w:val="19"/>
                <w:szCs w:val="19"/>
                <w:color w:val="auto"/>
              </w:rPr>
            </w:pPr>
          </w:p>
        </w:tc>
        <w:tc>
          <w:tcPr>
            <w:tcW w:w="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shd w:val="clear" w:color="auto" w:fill="F3F3F3"/>
          </w:tcPr>
          <w:p>
            <w:pPr>
              <w:spacing w:after="0"/>
              <w:rPr>
                <w:sz w:val="19"/>
                <w:szCs w:val="19"/>
                <w:color w:val="auto"/>
              </w:rPr>
            </w:pPr>
          </w:p>
        </w:tc>
        <w:tc>
          <w:tcPr>
            <w:tcW w:w="10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0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400" w:type="dxa"/>
            <w:vAlign w:val="bottom"/>
            <w:shd w:val="clear" w:color="auto" w:fill="F3F3F3"/>
          </w:tcPr>
          <w:p>
            <w:pPr>
              <w:spacing w:after="0"/>
              <w:rPr>
                <w:sz w:val="19"/>
                <w:szCs w:val="19"/>
                <w:color w:val="auto"/>
              </w:rPr>
            </w:pPr>
          </w:p>
        </w:tc>
        <w:tc>
          <w:tcPr>
            <w:tcW w:w="80" w:type="dxa"/>
            <w:vAlign w:val="bottom"/>
            <w:shd w:val="clear" w:color="auto" w:fill="F3F3F3"/>
          </w:tcPr>
          <w:p>
            <w:pPr>
              <w:spacing w:after="0"/>
              <w:rPr>
                <w:sz w:val="19"/>
                <w:szCs w:val="19"/>
                <w:color w:val="auto"/>
              </w:rPr>
            </w:pPr>
          </w:p>
        </w:tc>
        <w:tc>
          <w:tcPr>
            <w:tcW w:w="440" w:type="dxa"/>
            <w:vAlign w:val="bottom"/>
            <w:shd w:val="clear" w:color="auto" w:fill="F3F3F3"/>
          </w:tcPr>
          <w:p>
            <w:pPr>
              <w:spacing w:after="0"/>
              <w:rPr>
                <w:sz w:val="19"/>
                <w:szCs w:val="19"/>
                <w:color w:val="auto"/>
              </w:rPr>
            </w:pPr>
          </w:p>
        </w:tc>
        <w:tc>
          <w:tcPr>
            <w:tcW w:w="960" w:type="dxa"/>
            <w:vAlign w:val="bottom"/>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40"/>
              <w:spacing w:after="0"/>
              <w:rPr>
                <w:sz w:val="20"/>
                <w:szCs w:val="20"/>
                <w:color w:val="auto"/>
              </w:rPr>
            </w:pPr>
            <w:r>
              <w:rPr>
                <w:rFonts w:ascii="Arial" w:cs="Arial" w:eastAsia="Arial" w:hAnsi="Arial"/>
                <w:sz w:val="17"/>
                <w:szCs w:val="17"/>
                <w:color w:val="auto"/>
              </w:rPr>
              <w:t>Compensation and benefits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296,057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248,457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color w:val="auto"/>
              </w:rPr>
              <w:t>19.2</w:t>
            </w:r>
          </w:p>
        </w:tc>
        <w:tc>
          <w:tcPr>
            <w:tcW w:w="1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b w:val="1"/>
                <w:bCs w:val="1"/>
                <w:color w:val="auto"/>
              </w:rPr>
              <w:t>62.4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69.5</w:t>
            </w:r>
          </w:p>
        </w:tc>
        <w:tc>
          <w:tcPr>
            <w:tcW w:w="0" w:type="dxa"/>
            <w:vAlign w:val="bottom"/>
          </w:tcPr>
          <w:p>
            <w:pPr>
              <w:spacing w:after="0"/>
              <w:rPr>
                <w:sz w:val="1"/>
                <w:szCs w:val="1"/>
                <w:color w:val="auto"/>
              </w:rPr>
            </w:pPr>
          </w:p>
        </w:tc>
      </w:tr>
      <w:tr>
        <w:trPr>
          <w:trHeight w:val="230"/>
        </w:trPr>
        <w:tc>
          <w:tcPr>
            <w:tcW w:w="41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Occupancy and equipment</w:t>
            </w:r>
          </w:p>
        </w:tc>
        <w:tc>
          <w:tcPr>
            <w:tcW w:w="280" w:type="dxa"/>
            <w:vAlign w:val="bottom"/>
            <w:shd w:val="clear" w:color="auto" w:fill="F3F3F3"/>
          </w:tcPr>
          <w:p>
            <w:pPr>
              <w:spacing w:after="0"/>
              <w:rPr>
                <w:sz w:val="19"/>
                <w:szCs w:val="19"/>
                <w:color w:val="auto"/>
              </w:rPr>
            </w:pPr>
          </w:p>
        </w:tc>
        <w:tc>
          <w:tcPr>
            <w:tcW w:w="92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18,065</w:t>
            </w:r>
          </w:p>
        </w:tc>
        <w:tc>
          <w:tcPr>
            <w:tcW w:w="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18,227</w:t>
            </w: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060" w:type="dxa"/>
            <w:vAlign w:val="bottom"/>
            <w:shd w:val="clear" w:color="auto" w:fill="F3F3F3"/>
          </w:tcPr>
          <w:p>
            <w:pPr>
              <w:jc w:val="right"/>
              <w:ind w:right="75"/>
              <w:spacing w:after="0"/>
              <w:rPr>
                <w:sz w:val="20"/>
                <w:szCs w:val="20"/>
                <w:color w:val="auto"/>
              </w:rPr>
            </w:pPr>
            <w:r>
              <w:rPr>
                <w:rFonts w:ascii="Arial" w:cs="Arial" w:eastAsia="Arial" w:hAnsi="Arial"/>
                <w:sz w:val="17"/>
                <w:szCs w:val="17"/>
                <w:color w:val="auto"/>
              </w:rPr>
              <w:t>(0.9)</w:t>
            </w:r>
          </w:p>
        </w:tc>
        <w:tc>
          <w:tcPr>
            <w:tcW w:w="100" w:type="dxa"/>
            <w:vAlign w:val="bottom"/>
            <w:shd w:val="clear" w:color="auto" w:fill="F3F3F3"/>
          </w:tcPr>
          <w:p>
            <w:pPr>
              <w:spacing w:after="0"/>
              <w:rPr>
                <w:sz w:val="19"/>
                <w:szCs w:val="19"/>
                <w:color w:val="auto"/>
              </w:rPr>
            </w:pP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3.8</w:t>
            </w:r>
          </w:p>
        </w:tc>
        <w:tc>
          <w:tcPr>
            <w:tcW w:w="80" w:type="dxa"/>
            <w:vAlign w:val="bottom"/>
            <w:shd w:val="clear" w:color="auto" w:fill="F3F3F3"/>
          </w:tcPr>
          <w:p>
            <w:pPr>
              <w:spacing w:after="0"/>
              <w:rPr>
                <w:sz w:val="19"/>
                <w:szCs w:val="19"/>
                <w:color w:val="auto"/>
              </w:rPr>
            </w:pPr>
          </w:p>
        </w:tc>
        <w:tc>
          <w:tcPr>
            <w:tcW w:w="440" w:type="dxa"/>
            <w:vAlign w:val="bottom"/>
            <w:shd w:val="clear" w:color="auto" w:fill="F3F3F3"/>
          </w:tcPr>
          <w:p>
            <w:pPr>
              <w:spacing w:after="0"/>
              <w:rPr>
                <w:sz w:val="19"/>
                <w:szCs w:val="19"/>
                <w:color w:val="auto"/>
              </w:rPr>
            </w:pPr>
          </w:p>
        </w:tc>
        <w:tc>
          <w:tcPr>
            <w:tcW w:w="96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7"/>
                <w:szCs w:val="17"/>
                <w:color w:val="auto"/>
              </w:rPr>
              <w:t>Outside services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13,717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15,471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(11.3)</w:t>
            </w:r>
          </w:p>
        </w:tc>
        <w:tc>
          <w:tcPr>
            <w:tcW w:w="1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b w:val="1"/>
                <w:bCs w:val="1"/>
                <w:color w:val="auto"/>
              </w:rPr>
              <w:t>2.9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30"/>
        </w:trPr>
        <w:tc>
          <w:tcPr>
            <w:tcW w:w="41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Communications</w:t>
            </w:r>
          </w:p>
        </w:tc>
        <w:tc>
          <w:tcPr>
            <w:tcW w:w="280" w:type="dxa"/>
            <w:vAlign w:val="bottom"/>
            <w:shd w:val="clear" w:color="auto" w:fill="F3F3F3"/>
          </w:tcPr>
          <w:p>
            <w:pPr>
              <w:spacing w:after="0"/>
              <w:rPr>
                <w:sz w:val="19"/>
                <w:szCs w:val="19"/>
                <w:color w:val="auto"/>
              </w:rPr>
            </w:pPr>
          </w:p>
        </w:tc>
        <w:tc>
          <w:tcPr>
            <w:tcW w:w="92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14,910</w:t>
            </w:r>
          </w:p>
        </w:tc>
        <w:tc>
          <w:tcPr>
            <w:tcW w:w="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15,441</w:t>
            </w: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060" w:type="dxa"/>
            <w:vAlign w:val="bottom"/>
            <w:shd w:val="clear" w:color="auto" w:fill="F3F3F3"/>
          </w:tcPr>
          <w:p>
            <w:pPr>
              <w:jc w:val="right"/>
              <w:ind w:right="75"/>
              <w:spacing w:after="0"/>
              <w:rPr>
                <w:sz w:val="20"/>
                <w:szCs w:val="20"/>
                <w:color w:val="auto"/>
              </w:rPr>
            </w:pPr>
            <w:r>
              <w:rPr>
                <w:rFonts w:ascii="Arial" w:cs="Arial" w:eastAsia="Arial" w:hAnsi="Arial"/>
                <w:sz w:val="17"/>
                <w:szCs w:val="17"/>
                <w:color w:val="auto"/>
              </w:rPr>
              <w:t>(3.4)</w:t>
            </w:r>
          </w:p>
        </w:tc>
        <w:tc>
          <w:tcPr>
            <w:tcW w:w="100" w:type="dxa"/>
            <w:vAlign w:val="bottom"/>
            <w:shd w:val="clear" w:color="auto" w:fill="F3F3F3"/>
          </w:tcPr>
          <w:p>
            <w:pPr>
              <w:spacing w:after="0"/>
              <w:rPr>
                <w:sz w:val="19"/>
                <w:szCs w:val="19"/>
                <w:color w:val="auto"/>
              </w:rPr>
            </w:pP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3.1</w:t>
            </w:r>
          </w:p>
        </w:tc>
        <w:tc>
          <w:tcPr>
            <w:tcW w:w="80" w:type="dxa"/>
            <w:vAlign w:val="bottom"/>
            <w:shd w:val="clear" w:color="auto" w:fill="F3F3F3"/>
          </w:tcPr>
          <w:p>
            <w:pPr>
              <w:spacing w:after="0"/>
              <w:rPr>
                <w:sz w:val="19"/>
                <w:szCs w:val="19"/>
                <w:color w:val="auto"/>
              </w:rPr>
            </w:pPr>
          </w:p>
        </w:tc>
        <w:tc>
          <w:tcPr>
            <w:tcW w:w="440" w:type="dxa"/>
            <w:vAlign w:val="bottom"/>
            <w:shd w:val="clear" w:color="auto" w:fill="F3F3F3"/>
          </w:tcPr>
          <w:p>
            <w:pPr>
              <w:spacing w:after="0"/>
              <w:rPr>
                <w:sz w:val="19"/>
                <w:szCs w:val="19"/>
                <w:color w:val="auto"/>
              </w:rPr>
            </w:pPr>
          </w:p>
        </w:tc>
        <w:tc>
          <w:tcPr>
            <w:tcW w:w="96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7"/>
                <w:szCs w:val="17"/>
                <w:color w:val="auto"/>
              </w:rPr>
              <w:t>Marketing and business development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15,151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14,873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b w:val="1"/>
                <w:bCs w:val="1"/>
                <w:color w:val="auto"/>
              </w:rPr>
              <w:t>3.2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29"/>
        </w:trPr>
        <w:tc>
          <w:tcPr>
            <w:tcW w:w="41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Trade execution and clearance</w:t>
            </w:r>
          </w:p>
        </w:tc>
        <w:tc>
          <w:tcPr>
            <w:tcW w:w="280" w:type="dxa"/>
            <w:vAlign w:val="bottom"/>
            <w:shd w:val="clear" w:color="auto" w:fill="F3F3F3"/>
          </w:tcPr>
          <w:p>
            <w:pPr>
              <w:spacing w:after="0"/>
              <w:rPr>
                <w:sz w:val="19"/>
                <w:szCs w:val="19"/>
                <w:color w:val="auto"/>
              </w:rPr>
            </w:pPr>
          </w:p>
        </w:tc>
        <w:tc>
          <w:tcPr>
            <w:tcW w:w="92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5,037</w:t>
            </w:r>
          </w:p>
        </w:tc>
        <w:tc>
          <w:tcPr>
            <w:tcW w:w="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5,174</w:t>
            </w: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060" w:type="dxa"/>
            <w:vAlign w:val="bottom"/>
            <w:shd w:val="clear" w:color="auto" w:fill="F3F3F3"/>
          </w:tcPr>
          <w:p>
            <w:pPr>
              <w:jc w:val="right"/>
              <w:ind w:right="75"/>
              <w:spacing w:after="0"/>
              <w:rPr>
                <w:sz w:val="20"/>
                <w:szCs w:val="20"/>
                <w:color w:val="auto"/>
              </w:rPr>
            </w:pPr>
            <w:r>
              <w:rPr>
                <w:rFonts w:ascii="Arial" w:cs="Arial" w:eastAsia="Arial" w:hAnsi="Arial"/>
                <w:sz w:val="17"/>
                <w:szCs w:val="17"/>
                <w:color w:val="auto"/>
              </w:rPr>
              <w:t>(2.6)</w:t>
            </w:r>
          </w:p>
        </w:tc>
        <w:tc>
          <w:tcPr>
            <w:tcW w:w="100" w:type="dxa"/>
            <w:vAlign w:val="bottom"/>
            <w:shd w:val="clear" w:color="auto" w:fill="F3F3F3"/>
          </w:tcPr>
          <w:p>
            <w:pPr>
              <w:spacing w:after="0"/>
              <w:rPr>
                <w:sz w:val="19"/>
                <w:szCs w:val="19"/>
                <w:color w:val="auto"/>
              </w:rPr>
            </w:pP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1.1</w:t>
            </w:r>
          </w:p>
        </w:tc>
        <w:tc>
          <w:tcPr>
            <w:tcW w:w="80" w:type="dxa"/>
            <w:vAlign w:val="bottom"/>
            <w:shd w:val="clear" w:color="auto" w:fill="F3F3F3"/>
          </w:tcPr>
          <w:p>
            <w:pPr>
              <w:spacing w:after="0"/>
              <w:rPr>
                <w:sz w:val="19"/>
                <w:szCs w:val="19"/>
                <w:color w:val="auto"/>
              </w:rPr>
            </w:pPr>
          </w:p>
        </w:tc>
        <w:tc>
          <w:tcPr>
            <w:tcW w:w="440" w:type="dxa"/>
            <w:vAlign w:val="bottom"/>
            <w:shd w:val="clear" w:color="auto" w:fill="F3F3F3"/>
          </w:tcPr>
          <w:p>
            <w:pPr>
              <w:spacing w:after="0"/>
              <w:rPr>
                <w:sz w:val="19"/>
                <w:szCs w:val="19"/>
                <w:color w:val="auto"/>
              </w:rPr>
            </w:pPr>
          </w:p>
        </w:tc>
        <w:tc>
          <w:tcPr>
            <w:tcW w:w="96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7"/>
                <w:szCs w:val="17"/>
                <w:color w:val="auto"/>
              </w:rPr>
              <w:t>Intangible asset amortization</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2,057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2,076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75"/>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b w:val="1"/>
                <w:bCs w:val="1"/>
                <w:color w:val="auto"/>
              </w:rPr>
              <w:t>0.4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30"/>
        </w:trPr>
        <w:tc>
          <w:tcPr>
            <w:tcW w:w="41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Other operating expenses</w:t>
            </w:r>
          </w:p>
        </w:tc>
        <w:tc>
          <w:tcPr>
            <w:tcW w:w="280" w:type="dxa"/>
            <w:vAlign w:val="bottom"/>
            <w:tcBorders>
              <w:bottom w:val="single" w:sz="8" w:color="auto"/>
            </w:tcBorders>
            <w:shd w:val="clear" w:color="auto" w:fill="F3F3F3"/>
          </w:tcPr>
          <w:p>
            <w:pPr>
              <w:spacing w:after="0"/>
              <w:rPr>
                <w:sz w:val="19"/>
                <w:szCs w:val="19"/>
                <w:color w:val="auto"/>
              </w:rPr>
            </w:pPr>
          </w:p>
        </w:tc>
        <w:tc>
          <w:tcPr>
            <w:tcW w:w="9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21,484</w:t>
            </w:r>
          </w:p>
        </w:tc>
        <w:tc>
          <w:tcPr>
            <w:tcW w:w="60" w:type="dxa"/>
            <w:vAlign w:val="bottom"/>
            <w:tcBorders>
              <w:bottom w:val="single" w:sz="8" w:color="auto"/>
            </w:tcBorders>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tcBorders>
              <w:bottom w:val="single" w:sz="8" w:color="auto"/>
            </w:tcBorders>
            <w:shd w:val="clear" w:color="auto" w:fill="F3F3F3"/>
          </w:tcPr>
          <w:p>
            <w:pPr>
              <w:spacing w:after="0"/>
              <w:rPr>
                <w:sz w:val="19"/>
                <w:szCs w:val="19"/>
                <w:color w:val="auto"/>
              </w:rPr>
            </w:pPr>
          </w:p>
        </w:tc>
        <w:tc>
          <w:tcPr>
            <w:tcW w:w="10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8,120</w:t>
            </w:r>
          </w:p>
        </w:tc>
        <w:tc>
          <w:tcPr>
            <w:tcW w:w="100" w:type="dxa"/>
            <w:vAlign w:val="bottom"/>
            <w:shd w:val="clear" w:color="auto" w:fill="F3F3F3"/>
          </w:tcPr>
          <w:p>
            <w:pPr>
              <w:spacing w:after="0"/>
              <w:rPr>
                <w:sz w:val="19"/>
                <w:szCs w:val="19"/>
                <w:color w:val="auto"/>
              </w:rPr>
            </w:pPr>
          </w:p>
        </w:tc>
        <w:tc>
          <w:tcPr>
            <w:tcW w:w="320" w:type="dxa"/>
            <w:vAlign w:val="bottom"/>
            <w:tcBorders>
              <w:bottom w:val="single" w:sz="8" w:color="auto"/>
            </w:tcBorders>
            <w:shd w:val="clear" w:color="auto" w:fill="F3F3F3"/>
          </w:tcPr>
          <w:p>
            <w:pPr>
              <w:spacing w:after="0"/>
              <w:rPr>
                <w:sz w:val="19"/>
                <w:szCs w:val="19"/>
                <w:color w:val="auto"/>
              </w:rPr>
            </w:pPr>
          </w:p>
        </w:tc>
        <w:tc>
          <w:tcPr>
            <w:tcW w:w="1060" w:type="dxa"/>
            <w:vAlign w:val="bottom"/>
            <w:tcBorders>
              <w:bottom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color w:val="auto"/>
              </w:rPr>
              <w:t>164.6</w:t>
            </w:r>
          </w:p>
        </w:tc>
        <w:tc>
          <w:tcPr>
            <w:tcW w:w="100" w:type="dxa"/>
            <w:vAlign w:val="bottom"/>
            <w:shd w:val="clear" w:color="auto" w:fill="F3F3F3"/>
          </w:tcPr>
          <w:p>
            <w:pPr>
              <w:spacing w:after="0"/>
              <w:rPr>
                <w:sz w:val="19"/>
                <w:szCs w:val="19"/>
                <w:color w:val="auto"/>
              </w:rPr>
            </w:pPr>
          </w:p>
        </w:tc>
        <w:tc>
          <w:tcPr>
            <w:tcW w:w="1400" w:type="dxa"/>
            <w:vAlign w:val="bottom"/>
            <w:tcBorders>
              <w:bottom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4.5</w:t>
            </w:r>
          </w:p>
        </w:tc>
        <w:tc>
          <w:tcPr>
            <w:tcW w:w="80" w:type="dxa"/>
            <w:vAlign w:val="bottom"/>
            <w:shd w:val="clear" w:color="auto" w:fill="F3F3F3"/>
          </w:tcPr>
          <w:p>
            <w:pPr>
              <w:spacing w:after="0"/>
              <w:rPr>
                <w:sz w:val="19"/>
                <w:szCs w:val="19"/>
                <w:color w:val="auto"/>
              </w:rPr>
            </w:pPr>
          </w:p>
        </w:tc>
        <w:tc>
          <w:tcPr>
            <w:tcW w:w="440" w:type="dxa"/>
            <w:vAlign w:val="bottom"/>
            <w:tcBorders>
              <w:bottom w:val="single" w:sz="8" w:color="auto"/>
            </w:tcBorders>
            <w:shd w:val="clear" w:color="auto" w:fill="F3F3F3"/>
          </w:tcPr>
          <w:p>
            <w:pPr>
              <w:spacing w:after="0"/>
              <w:rPr>
                <w:sz w:val="19"/>
                <w:szCs w:val="19"/>
                <w:color w:val="auto"/>
              </w:rPr>
            </w:pPr>
          </w:p>
        </w:tc>
        <w:tc>
          <w:tcPr>
            <w:tcW w:w="960" w:type="dxa"/>
            <w:vAlign w:val="bottom"/>
            <w:tcBorders>
              <w:bottom w:val="single" w:sz="8" w:color="auto"/>
            </w:tcBorders>
            <w:shd w:val="clear" w:color="auto" w:fill="F3F3F3"/>
          </w:tcPr>
          <w:p>
            <w:pPr>
              <w:jc w:val="right"/>
              <w:ind w:right="135"/>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23"/>
        </w:trPr>
        <w:tc>
          <w:tcPr>
            <w:tcW w:w="4140" w:type="dxa"/>
            <w:vAlign w:val="bottom"/>
            <w:tcBorders>
              <w:bottom w:val="single" w:sz="8" w:color="F3F3F3"/>
            </w:tcBorders>
          </w:tcPr>
          <w:p>
            <w:pPr>
              <w:ind w:left="20"/>
              <w:spacing w:after="0"/>
              <w:rPr>
                <w:sz w:val="20"/>
                <w:szCs w:val="20"/>
                <w:color w:val="auto"/>
              </w:rPr>
            </w:pPr>
            <w:r>
              <w:rPr>
                <w:rFonts w:ascii="Arial" w:cs="Arial" w:eastAsia="Arial" w:hAnsi="Arial"/>
                <w:sz w:val="17"/>
                <w:szCs w:val="17"/>
                <w:b w:val="1"/>
                <w:bCs w:val="1"/>
                <w:color w:val="auto"/>
              </w:rPr>
              <w:t>Total non-interest expenses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386,478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F3F3F3"/>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327,839</w:t>
            </w:r>
          </w:p>
        </w:tc>
        <w:tc>
          <w:tcPr>
            <w:tcW w:w="100" w:type="dxa"/>
            <w:vAlign w:val="bottom"/>
            <w:tcBorders>
              <w:bottom w:val="single" w:sz="8" w:color="F3F3F3"/>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17.9</w:t>
            </w:r>
          </w:p>
        </w:tc>
        <w:tc>
          <w:tcPr>
            <w:tcW w:w="100" w:type="dxa"/>
            <w:vAlign w:val="bottom"/>
            <w:tcBorders>
              <w:bottom w:val="single" w:sz="8" w:color="F3F3F3"/>
            </w:tcBorders>
          </w:tcPr>
          <w:p>
            <w:pPr>
              <w:spacing w:after="0"/>
              <w:rPr>
                <w:sz w:val="19"/>
                <w:szCs w:val="19"/>
                <w:color w:val="auto"/>
              </w:rPr>
            </w:pPr>
          </w:p>
        </w:tc>
        <w:tc>
          <w:tcPr>
            <w:tcW w:w="1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81.5</w:t>
            </w:r>
          </w:p>
        </w:tc>
        <w:tc>
          <w:tcPr>
            <w:tcW w:w="80" w:type="dxa"/>
            <w:vAlign w:val="bottom"/>
            <w:tcBorders>
              <w:bottom w:val="single" w:sz="8" w:color="F3F3F3"/>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91.8</w:t>
            </w:r>
          </w:p>
        </w:tc>
        <w:tc>
          <w:tcPr>
            <w:tcW w:w="0" w:type="dxa"/>
            <w:vAlign w:val="bottom"/>
          </w:tcPr>
          <w:p>
            <w:pPr>
              <w:spacing w:after="0"/>
              <w:rPr>
                <w:sz w:val="1"/>
                <w:szCs w:val="1"/>
                <w:color w:val="auto"/>
              </w:rPr>
            </w:pPr>
          </w:p>
        </w:tc>
      </w:tr>
      <w:tr>
        <w:trPr>
          <w:trHeight w:val="196"/>
        </w:trPr>
        <w:tc>
          <w:tcPr>
            <w:tcW w:w="4140" w:type="dxa"/>
            <w:vAlign w:val="bottom"/>
            <w:shd w:val="clear" w:color="auto" w:fill="F3F3F3"/>
          </w:tcPr>
          <w:p>
            <w:pPr>
              <w:spacing w:after="0"/>
              <w:rPr>
                <w:sz w:val="17"/>
                <w:szCs w:val="17"/>
                <w:color w:val="auto"/>
              </w:rPr>
            </w:pPr>
          </w:p>
        </w:tc>
        <w:tc>
          <w:tcPr>
            <w:tcW w:w="280" w:type="dxa"/>
            <w:vAlign w:val="bottom"/>
            <w:shd w:val="clear" w:color="auto" w:fill="F3F3F3"/>
          </w:tcPr>
          <w:p>
            <w:pPr>
              <w:spacing w:after="0"/>
              <w:rPr>
                <w:sz w:val="17"/>
                <w:szCs w:val="17"/>
                <w:color w:val="auto"/>
              </w:rPr>
            </w:pPr>
          </w:p>
        </w:tc>
        <w:tc>
          <w:tcPr>
            <w:tcW w:w="920" w:type="dxa"/>
            <w:vAlign w:val="bottom"/>
            <w:shd w:val="clear" w:color="auto" w:fill="F3F3F3"/>
          </w:tcPr>
          <w:p>
            <w:pPr>
              <w:spacing w:after="0"/>
              <w:rPr>
                <w:sz w:val="17"/>
                <w:szCs w:val="17"/>
                <w:color w:val="auto"/>
              </w:rPr>
            </w:pPr>
          </w:p>
        </w:tc>
        <w:tc>
          <w:tcPr>
            <w:tcW w:w="60" w:type="dxa"/>
            <w:vAlign w:val="bottom"/>
            <w:shd w:val="clear" w:color="auto" w:fill="F3F3F3"/>
          </w:tcPr>
          <w:p>
            <w:pPr>
              <w:spacing w:after="0"/>
              <w:rPr>
                <w:sz w:val="17"/>
                <w:szCs w:val="17"/>
                <w:color w:val="auto"/>
              </w:rPr>
            </w:pPr>
          </w:p>
        </w:tc>
        <w:tc>
          <w:tcPr>
            <w:tcW w:w="100" w:type="dxa"/>
            <w:vAlign w:val="bottom"/>
            <w:shd w:val="clear" w:color="auto" w:fill="F3F3F3"/>
          </w:tcPr>
          <w:p>
            <w:pPr>
              <w:spacing w:after="0"/>
              <w:rPr>
                <w:sz w:val="17"/>
                <w:szCs w:val="17"/>
                <w:color w:val="auto"/>
              </w:rPr>
            </w:pPr>
          </w:p>
        </w:tc>
        <w:tc>
          <w:tcPr>
            <w:tcW w:w="220" w:type="dxa"/>
            <w:vAlign w:val="bottom"/>
            <w:shd w:val="clear" w:color="auto" w:fill="F3F3F3"/>
          </w:tcPr>
          <w:p>
            <w:pPr>
              <w:spacing w:after="0"/>
              <w:rPr>
                <w:sz w:val="17"/>
                <w:szCs w:val="17"/>
                <w:color w:val="auto"/>
              </w:rPr>
            </w:pPr>
          </w:p>
        </w:tc>
        <w:tc>
          <w:tcPr>
            <w:tcW w:w="1060" w:type="dxa"/>
            <w:vAlign w:val="bottom"/>
            <w:shd w:val="clear" w:color="auto" w:fill="F3F3F3"/>
          </w:tcPr>
          <w:p>
            <w:pPr>
              <w:spacing w:after="0"/>
              <w:rPr>
                <w:sz w:val="17"/>
                <w:szCs w:val="17"/>
                <w:color w:val="auto"/>
              </w:rPr>
            </w:pPr>
          </w:p>
        </w:tc>
        <w:tc>
          <w:tcPr>
            <w:tcW w:w="100" w:type="dxa"/>
            <w:vAlign w:val="bottom"/>
            <w:shd w:val="clear" w:color="auto" w:fill="F3F3F3"/>
          </w:tcPr>
          <w:p>
            <w:pPr>
              <w:spacing w:after="0"/>
              <w:rPr>
                <w:sz w:val="17"/>
                <w:szCs w:val="17"/>
                <w:color w:val="auto"/>
              </w:rPr>
            </w:pPr>
          </w:p>
        </w:tc>
        <w:tc>
          <w:tcPr>
            <w:tcW w:w="320" w:type="dxa"/>
            <w:vAlign w:val="bottom"/>
            <w:shd w:val="clear" w:color="auto" w:fill="F3F3F3"/>
          </w:tcPr>
          <w:p>
            <w:pPr>
              <w:spacing w:after="0"/>
              <w:rPr>
                <w:sz w:val="17"/>
                <w:szCs w:val="17"/>
                <w:color w:val="auto"/>
              </w:rPr>
            </w:pPr>
          </w:p>
        </w:tc>
        <w:tc>
          <w:tcPr>
            <w:tcW w:w="1060" w:type="dxa"/>
            <w:vAlign w:val="bottom"/>
            <w:shd w:val="clear" w:color="auto" w:fill="F3F3F3"/>
          </w:tcPr>
          <w:p>
            <w:pPr>
              <w:spacing w:after="0"/>
              <w:rPr>
                <w:sz w:val="17"/>
                <w:szCs w:val="17"/>
                <w:color w:val="auto"/>
              </w:rPr>
            </w:pPr>
          </w:p>
        </w:tc>
        <w:tc>
          <w:tcPr>
            <w:tcW w:w="100" w:type="dxa"/>
            <w:vAlign w:val="bottom"/>
            <w:shd w:val="clear" w:color="auto" w:fill="F3F3F3"/>
          </w:tcPr>
          <w:p>
            <w:pPr>
              <w:spacing w:after="0"/>
              <w:rPr>
                <w:sz w:val="17"/>
                <w:szCs w:val="17"/>
                <w:color w:val="auto"/>
              </w:rPr>
            </w:pPr>
          </w:p>
        </w:tc>
        <w:tc>
          <w:tcPr>
            <w:tcW w:w="1400" w:type="dxa"/>
            <w:vAlign w:val="bottom"/>
            <w:shd w:val="clear" w:color="auto" w:fill="F3F3F3"/>
          </w:tcPr>
          <w:p>
            <w:pPr>
              <w:spacing w:after="0"/>
              <w:rPr>
                <w:sz w:val="17"/>
                <w:szCs w:val="17"/>
                <w:color w:val="auto"/>
              </w:rPr>
            </w:pPr>
          </w:p>
        </w:tc>
        <w:tc>
          <w:tcPr>
            <w:tcW w:w="80" w:type="dxa"/>
            <w:vAlign w:val="bottom"/>
            <w:shd w:val="clear" w:color="auto" w:fill="F3F3F3"/>
          </w:tcPr>
          <w:p>
            <w:pPr>
              <w:spacing w:after="0"/>
              <w:rPr>
                <w:sz w:val="17"/>
                <w:szCs w:val="17"/>
                <w:color w:val="auto"/>
              </w:rPr>
            </w:pPr>
          </w:p>
        </w:tc>
        <w:tc>
          <w:tcPr>
            <w:tcW w:w="440" w:type="dxa"/>
            <w:vAlign w:val="bottom"/>
            <w:shd w:val="clear" w:color="auto" w:fill="F3F3F3"/>
          </w:tcPr>
          <w:p>
            <w:pPr>
              <w:spacing w:after="0"/>
              <w:rPr>
                <w:sz w:val="17"/>
                <w:szCs w:val="17"/>
                <w:color w:val="auto"/>
              </w:rPr>
            </w:pPr>
          </w:p>
        </w:tc>
        <w:tc>
          <w:tcPr>
            <w:tcW w:w="960" w:type="dxa"/>
            <w:vAlign w:val="bottom"/>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Income before income tax expense/(benefit)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87,931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29,433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135"/>
              <w:spacing w:after="0"/>
              <w:rPr>
                <w:sz w:val="20"/>
                <w:szCs w:val="20"/>
                <w:color w:val="auto"/>
              </w:rPr>
            </w:pPr>
            <w:r>
              <w:rPr>
                <w:rFonts w:ascii="Arial" w:cs="Arial" w:eastAsia="Arial" w:hAnsi="Arial"/>
                <w:sz w:val="17"/>
                <w:szCs w:val="17"/>
                <w:color w:val="auto"/>
              </w:rPr>
              <w:t>198.7</w:t>
            </w:r>
          </w:p>
        </w:tc>
        <w:tc>
          <w:tcPr>
            <w:tcW w:w="10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Arial" w:cs="Arial" w:eastAsia="Arial" w:hAnsi="Arial"/>
                <w:sz w:val="17"/>
                <w:szCs w:val="17"/>
                <w:b w:val="1"/>
                <w:bCs w:val="1"/>
                <w:color w:val="auto"/>
              </w:rPr>
              <w:t>18.5</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30"/>
        </w:trPr>
        <w:tc>
          <w:tcPr>
            <w:tcW w:w="41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Income tax expense/(benefit)</w:t>
            </w:r>
          </w:p>
        </w:tc>
        <w:tc>
          <w:tcPr>
            <w:tcW w:w="280" w:type="dxa"/>
            <w:vAlign w:val="bottom"/>
            <w:shd w:val="clear" w:color="auto" w:fill="F3F3F3"/>
          </w:tcPr>
          <w:p>
            <w:pPr>
              <w:spacing w:after="0"/>
              <w:rPr>
                <w:sz w:val="19"/>
                <w:szCs w:val="19"/>
                <w:color w:val="auto"/>
              </w:rPr>
            </w:pPr>
          </w:p>
        </w:tc>
        <w:tc>
          <w:tcPr>
            <w:tcW w:w="92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19,619</w:t>
            </w:r>
          </w:p>
        </w:tc>
        <w:tc>
          <w:tcPr>
            <w:tcW w:w="6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shd w:val="clear" w:color="auto" w:fill="F3F3F3"/>
          </w:tcPr>
          <w:p>
            <w:pPr>
              <w:spacing w:after="0"/>
              <w:rPr>
                <w:sz w:val="19"/>
                <w:szCs w:val="19"/>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7"/>
                <w:szCs w:val="17"/>
                <w:color w:val="auto"/>
              </w:rPr>
              <w:t>(7,335)</w:t>
            </w:r>
          </w:p>
        </w:tc>
        <w:tc>
          <w:tcPr>
            <w:tcW w:w="100" w:type="dxa"/>
            <w:vAlign w:val="bottom"/>
            <w:shd w:val="clear" w:color="auto" w:fill="F3F3F3"/>
          </w:tcPr>
          <w:p>
            <w:pPr>
              <w:spacing w:after="0"/>
              <w:rPr>
                <w:sz w:val="19"/>
                <w:szCs w:val="19"/>
                <w:color w:val="auto"/>
              </w:rPr>
            </w:pPr>
          </w:p>
        </w:tc>
        <w:tc>
          <w:tcPr>
            <w:tcW w:w="320" w:type="dxa"/>
            <w:vAlign w:val="bottom"/>
            <w:shd w:val="clear" w:color="auto" w:fill="F3F3F3"/>
          </w:tcPr>
          <w:p>
            <w:pPr>
              <w:spacing w:after="0"/>
              <w:rPr>
                <w:sz w:val="19"/>
                <w:szCs w:val="19"/>
                <w:color w:val="auto"/>
              </w:rPr>
            </w:pPr>
          </w:p>
        </w:tc>
        <w:tc>
          <w:tcPr>
            <w:tcW w:w="1160" w:type="dxa"/>
            <w:vAlign w:val="bottom"/>
            <w:gridSpan w:val="2"/>
            <w:shd w:val="clear" w:color="auto" w:fill="F3F3F3"/>
          </w:tcPr>
          <w:p>
            <w:pPr>
              <w:ind w:left="520"/>
              <w:spacing w:after="0"/>
              <w:rPr>
                <w:sz w:val="20"/>
                <w:szCs w:val="20"/>
                <w:color w:val="auto"/>
              </w:rPr>
            </w:pPr>
            <w:r>
              <w:rPr>
                <w:rFonts w:ascii="Arial" w:cs="Arial" w:eastAsia="Arial" w:hAnsi="Arial"/>
                <w:sz w:val="17"/>
                <w:szCs w:val="17"/>
                <w:color w:val="auto"/>
              </w:rPr>
              <w:t>N/M</w:t>
            </w:r>
          </w:p>
        </w:tc>
        <w:tc>
          <w:tcPr>
            <w:tcW w:w="1400" w:type="dxa"/>
            <w:vAlign w:val="bottom"/>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4.1</w:t>
            </w:r>
          </w:p>
        </w:tc>
        <w:tc>
          <w:tcPr>
            <w:tcW w:w="80" w:type="dxa"/>
            <w:vAlign w:val="bottom"/>
            <w:shd w:val="clear" w:color="auto" w:fill="F3F3F3"/>
          </w:tcPr>
          <w:p>
            <w:pPr>
              <w:spacing w:after="0"/>
              <w:rPr>
                <w:sz w:val="19"/>
                <w:szCs w:val="19"/>
                <w:color w:val="auto"/>
              </w:rPr>
            </w:pPr>
          </w:p>
        </w:tc>
        <w:tc>
          <w:tcPr>
            <w:tcW w:w="440" w:type="dxa"/>
            <w:vAlign w:val="bottom"/>
            <w:shd w:val="clear" w:color="auto" w:fill="F3F3F3"/>
          </w:tcPr>
          <w:p>
            <w:pPr>
              <w:spacing w:after="0"/>
              <w:rPr>
                <w:sz w:val="19"/>
                <w:szCs w:val="19"/>
                <w:color w:val="auto"/>
              </w:rPr>
            </w:pPr>
          </w:p>
        </w:tc>
        <w:tc>
          <w:tcPr>
            <w:tcW w:w="960" w:type="dxa"/>
            <w:vAlign w:val="bottom"/>
            <w:shd w:val="clear" w:color="auto" w:fill="F3F3F3"/>
          </w:tcPr>
          <w:p>
            <w:pPr>
              <w:jc w:val="right"/>
              <w:ind w:right="95"/>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23"/>
        </w:trPr>
        <w:tc>
          <w:tcPr>
            <w:tcW w:w="4140" w:type="dxa"/>
            <w:vAlign w:val="bottom"/>
          </w:tcPr>
          <w:p>
            <w:pPr>
              <w:ind w:left="20"/>
              <w:spacing w:after="0"/>
              <w:rPr>
                <w:sz w:val="20"/>
                <w:szCs w:val="20"/>
                <w:color w:val="auto"/>
              </w:rPr>
            </w:pPr>
            <w:r>
              <w:rPr>
                <w:rFonts w:ascii="Arial" w:cs="Arial" w:eastAsia="Arial" w:hAnsi="Arial"/>
                <w:sz w:val="17"/>
                <w:szCs w:val="17"/>
                <w:b w:val="1"/>
                <w:bCs w:val="1"/>
                <w:color w:val="auto"/>
              </w:rPr>
              <w:t>Net income</w:t>
            </w: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68,312</w:t>
            </w:r>
          </w:p>
        </w:tc>
        <w:tc>
          <w:tcPr>
            <w:tcW w:w="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36,768</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85.8</w:t>
            </w:r>
          </w:p>
        </w:tc>
        <w:tc>
          <w:tcPr>
            <w:tcW w:w="100" w:type="dxa"/>
            <w:vAlign w:val="bottom"/>
          </w:tcPr>
          <w:p>
            <w:pPr>
              <w:spacing w:after="0"/>
              <w:rPr>
                <w:sz w:val="19"/>
                <w:szCs w:val="19"/>
                <w:color w:val="auto"/>
              </w:rPr>
            </w:pPr>
          </w:p>
        </w:tc>
        <w:tc>
          <w:tcPr>
            <w:tcW w:w="140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14.4</w:t>
            </w:r>
          </w:p>
        </w:tc>
        <w:tc>
          <w:tcPr>
            <w:tcW w:w="8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135"/>
              <w:spacing w:after="0"/>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67"/>
        </w:trPr>
        <w:tc>
          <w:tcPr>
            <w:tcW w:w="4140" w:type="dxa"/>
            <w:vAlign w:val="bottom"/>
            <w:shd w:val="clear" w:color="auto" w:fill="F3F3F3"/>
          </w:tcPr>
          <w:p>
            <w:pPr>
              <w:ind w:left="140"/>
              <w:spacing w:after="0" w:line="167" w:lineRule="exact"/>
              <w:rPr>
                <w:sz w:val="20"/>
                <w:szCs w:val="20"/>
                <w:color w:val="auto"/>
              </w:rPr>
            </w:pPr>
            <w:r>
              <w:rPr>
                <w:rFonts w:ascii="Arial" w:cs="Arial" w:eastAsia="Arial" w:hAnsi="Arial"/>
                <w:sz w:val="17"/>
                <w:szCs w:val="17"/>
                <w:color w:val="auto"/>
              </w:rPr>
              <w:t>Net income/(loss) attributable to noncontrolling</w:t>
            </w:r>
          </w:p>
        </w:tc>
        <w:tc>
          <w:tcPr>
            <w:tcW w:w="280" w:type="dxa"/>
            <w:vAlign w:val="bottom"/>
            <w:shd w:val="clear" w:color="auto" w:fill="F3F3F3"/>
          </w:tcPr>
          <w:p>
            <w:pPr>
              <w:spacing w:after="0"/>
              <w:rPr>
                <w:sz w:val="14"/>
                <w:szCs w:val="14"/>
                <w:color w:val="auto"/>
              </w:rPr>
            </w:pPr>
          </w:p>
        </w:tc>
        <w:tc>
          <w:tcPr>
            <w:tcW w:w="920" w:type="dxa"/>
            <w:vAlign w:val="bottom"/>
            <w:vMerge w:val="restart"/>
            <w:shd w:val="clear" w:color="auto" w:fill="F3F3F3"/>
          </w:tcPr>
          <w:p>
            <w:pPr>
              <w:jc w:val="right"/>
              <w:spacing w:after="0"/>
              <w:rPr>
                <w:sz w:val="20"/>
                <w:szCs w:val="20"/>
                <w:color w:val="auto"/>
              </w:rPr>
            </w:pPr>
            <w:r>
              <w:rPr>
                <w:rFonts w:ascii="Arial" w:cs="Arial" w:eastAsia="Arial" w:hAnsi="Arial"/>
                <w:sz w:val="17"/>
                <w:szCs w:val="17"/>
                <w:b w:val="1"/>
                <w:bCs w:val="1"/>
                <w:color w:val="auto"/>
              </w:rPr>
              <w:t>3,070</w:t>
            </w:r>
          </w:p>
        </w:tc>
        <w:tc>
          <w:tcPr>
            <w:tcW w:w="60" w:type="dxa"/>
            <w:vAlign w:val="bottom"/>
            <w:shd w:val="clear" w:color="auto" w:fill="F3F3F3"/>
          </w:tcPr>
          <w:p>
            <w:pPr>
              <w:spacing w:after="0"/>
              <w:rPr>
                <w:sz w:val="14"/>
                <w:szCs w:val="14"/>
                <w:color w:val="auto"/>
              </w:rPr>
            </w:pPr>
          </w:p>
        </w:tc>
        <w:tc>
          <w:tcPr>
            <w:tcW w:w="100" w:type="dxa"/>
            <w:vAlign w:val="bottom"/>
            <w:shd w:val="clear" w:color="auto" w:fill="F3F3F3"/>
          </w:tcPr>
          <w:p>
            <w:pPr>
              <w:spacing w:after="0"/>
              <w:rPr>
                <w:sz w:val="14"/>
                <w:szCs w:val="14"/>
                <w:color w:val="auto"/>
              </w:rPr>
            </w:pPr>
          </w:p>
        </w:tc>
        <w:tc>
          <w:tcPr>
            <w:tcW w:w="220" w:type="dxa"/>
            <w:vAlign w:val="bottom"/>
            <w:shd w:val="clear" w:color="auto" w:fill="F3F3F3"/>
          </w:tcPr>
          <w:p>
            <w:pPr>
              <w:spacing w:after="0"/>
              <w:rPr>
                <w:sz w:val="14"/>
                <w:szCs w:val="14"/>
                <w:color w:val="auto"/>
              </w:rPr>
            </w:pPr>
          </w:p>
        </w:tc>
        <w:tc>
          <w:tcPr>
            <w:tcW w:w="1060" w:type="dxa"/>
            <w:vAlign w:val="bottom"/>
            <w:vMerge w:val="restart"/>
            <w:shd w:val="clear" w:color="auto" w:fill="F3F3F3"/>
          </w:tcPr>
          <w:p>
            <w:pPr>
              <w:jc w:val="right"/>
              <w:spacing w:after="0"/>
              <w:rPr>
                <w:sz w:val="20"/>
                <w:szCs w:val="20"/>
                <w:color w:val="auto"/>
              </w:rPr>
            </w:pPr>
            <w:r>
              <w:rPr>
                <w:rFonts w:ascii="Arial" w:cs="Arial" w:eastAsia="Arial" w:hAnsi="Arial"/>
                <w:sz w:val="17"/>
                <w:szCs w:val="17"/>
                <w:color w:val="auto"/>
              </w:rPr>
              <w:t>(28,147)</w:t>
            </w:r>
          </w:p>
        </w:tc>
        <w:tc>
          <w:tcPr>
            <w:tcW w:w="100" w:type="dxa"/>
            <w:vAlign w:val="bottom"/>
            <w:shd w:val="clear" w:color="auto" w:fill="F3F3F3"/>
          </w:tcPr>
          <w:p>
            <w:pPr>
              <w:spacing w:after="0"/>
              <w:rPr>
                <w:sz w:val="14"/>
                <w:szCs w:val="14"/>
                <w:color w:val="auto"/>
              </w:rPr>
            </w:pPr>
          </w:p>
        </w:tc>
        <w:tc>
          <w:tcPr>
            <w:tcW w:w="320" w:type="dxa"/>
            <w:vAlign w:val="bottom"/>
            <w:shd w:val="clear" w:color="auto" w:fill="F3F3F3"/>
          </w:tcPr>
          <w:p>
            <w:pPr>
              <w:spacing w:after="0"/>
              <w:rPr>
                <w:sz w:val="14"/>
                <w:szCs w:val="14"/>
                <w:color w:val="auto"/>
              </w:rPr>
            </w:pPr>
          </w:p>
        </w:tc>
        <w:tc>
          <w:tcPr>
            <w:tcW w:w="1060" w:type="dxa"/>
            <w:vAlign w:val="bottom"/>
            <w:vMerge w:val="restart"/>
            <w:shd w:val="clear" w:color="auto" w:fill="F3F3F3"/>
          </w:tcPr>
          <w:p>
            <w:pPr>
              <w:ind w:left="520"/>
              <w:spacing w:after="0"/>
              <w:rPr>
                <w:sz w:val="20"/>
                <w:szCs w:val="20"/>
                <w:color w:val="auto"/>
              </w:rPr>
            </w:pPr>
            <w:r>
              <w:rPr>
                <w:rFonts w:ascii="Arial" w:cs="Arial" w:eastAsia="Arial" w:hAnsi="Arial"/>
                <w:sz w:val="17"/>
                <w:szCs w:val="17"/>
                <w:color w:val="auto"/>
              </w:rPr>
              <w:t>N/M</w:t>
            </w:r>
          </w:p>
        </w:tc>
        <w:tc>
          <w:tcPr>
            <w:tcW w:w="100" w:type="dxa"/>
            <w:vAlign w:val="bottom"/>
            <w:vMerge w:val="restart"/>
            <w:shd w:val="clear" w:color="auto" w:fill="F3F3F3"/>
          </w:tcPr>
          <w:p>
            <w:pPr>
              <w:spacing w:after="0"/>
              <w:rPr>
                <w:sz w:val="14"/>
                <w:szCs w:val="14"/>
                <w:color w:val="auto"/>
              </w:rPr>
            </w:pPr>
          </w:p>
        </w:tc>
        <w:tc>
          <w:tcPr>
            <w:tcW w:w="1400" w:type="dxa"/>
            <w:vAlign w:val="bottom"/>
            <w:vMerge w:val="restart"/>
            <w:shd w:val="clear" w:color="auto" w:fill="F3F3F3"/>
          </w:tcPr>
          <w:p>
            <w:pPr>
              <w:jc w:val="right"/>
              <w:ind w:right="135"/>
              <w:spacing w:after="0"/>
              <w:rPr>
                <w:sz w:val="20"/>
                <w:szCs w:val="20"/>
                <w:color w:val="auto"/>
              </w:rPr>
            </w:pPr>
            <w:r>
              <w:rPr>
                <w:rFonts w:ascii="Arial" w:cs="Arial" w:eastAsia="Arial" w:hAnsi="Arial"/>
                <w:sz w:val="17"/>
                <w:szCs w:val="17"/>
                <w:b w:val="1"/>
                <w:bCs w:val="1"/>
                <w:color w:val="auto"/>
              </w:rPr>
              <w:t>0.6</w:t>
            </w:r>
          </w:p>
        </w:tc>
        <w:tc>
          <w:tcPr>
            <w:tcW w:w="80" w:type="dxa"/>
            <w:vAlign w:val="bottom"/>
            <w:shd w:val="clear" w:color="auto" w:fill="F3F3F3"/>
          </w:tcPr>
          <w:p>
            <w:pPr>
              <w:spacing w:after="0"/>
              <w:rPr>
                <w:sz w:val="14"/>
                <w:szCs w:val="14"/>
                <w:color w:val="auto"/>
              </w:rPr>
            </w:pPr>
          </w:p>
        </w:tc>
        <w:tc>
          <w:tcPr>
            <w:tcW w:w="440" w:type="dxa"/>
            <w:vAlign w:val="bottom"/>
            <w:shd w:val="clear" w:color="auto" w:fill="F3F3F3"/>
          </w:tcPr>
          <w:p>
            <w:pPr>
              <w:spacing w:after="0"/>
              <w:rPr>
                <w:sz w:val="14"/>
                <w:szCs w:val="14"/>
                <w:color w:val="auto"/>
              </w:rPr>
            </w:pPr>
          </w:p>
        </w:tc>
        <w:tc>
          <w:tcPr>
            <w:tcW w:w="960" w:type="dxa"/>
            <w:vAlign w:val="bottom"/>
            <w:vMerge w:val="restart"/>
            <w:shd w:val="clear" w:color="auto" w:fill="F3F3F3"/>
          </w:tcPr>
          <w:p>
            <w:pPr>
              <w:jc w:val="right"/>
              <w:ind w:right="95"/>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25"/>
        </w:trPr>
        <w:tc>
          <w:tcPr>
            <w:tcW w:w="4140" w:type="dxa"/>
            <w:vAlign w:val="bottom"/>
            <w:shd w:val="clear" w:color="auto" w:fill="F3F3F3"/>
          </w:tcPr>
          <w:p>
            <w:pPr>
              <w:ind w:left="220"/>
              <w:spacing w:after="0"/>
              <w:rPr>
                <w:sz w:val="20"/>
                <w:szCs w:val="20"/>
                <w:color w:val="auto"/>
              </w:rPr>
            </w:pPr>
            <w:r>
              <w:rPr>
                <w:rFonts w:ascii="Arial" w:cs="Arial" w:eastAsia="Arial" w:hAnsi="Arial"/>
                <w:sz w:val="17"/>
                <w:szCs w:val="17"/>
                <w:color w:val="auto"/>
              </w:rPr>
              <w:t>interests</w:t>
            </w:r>
          </w:p>
        </w:tc>
        <w:tc>
          <w:tcPr>
            <w:tcW w:w="280" w:type="dxa"/>
            <w:vAlign w:val="bottom"/>
            <w:tcBorders>
              <w:bottom w:val="single" w:sz="8" w:color="auto"/>
            </w:tcBorders>
            <w:shd w:val="clear" w:color="auto" w:fill="F3F3F3"/>
          </w:tcPr>
          <w:p>
            <w:pPr>
              <w:spacing w:after="0"/>
              <w:rPr>
                <w:sz w:val="19"/>
                <w:szCs w:val="19"/>
                <w:color w:val="auto"/>
              </w:rPr>
            </w:pPr>
          </w:p>
        </w:tc>
        <w:tc>
          <w:tcPr>
            <w:tcW w:w="920" w:type="dxa"/>
            <w:vAlign w:val="bottom"/>
            <w:tcBorders>
              <w:bottom w:val="single" w:sz="8" w:color="auto"/>
            </w:tcBorders>
            <w:vMerge w:val="continue"/>
            <w:shd w:val="clear" w:color="auto" w:fill="F3F3F3"/>
          </w:tcPr>
          <w:p>
            <w:pPr>
              <w:spacing w:after="0"/>
              <w:rPr>
                <w:sz w:val="19"/>
                <w:szCs w:val="19"/>
                <w:color w:val="auto"/>
              </w:rPr>
            </w:pPr>
          </w:p>
        </w:tc>
        <w:tc>
          <w:tcPr>
            <w:tcW w:w="60" w:type="dxa"/>
            <w:vAlign w:val="bottom"/>
            <w:tcBorders>
              <w:bottom w:val="single" w:sz="8" w:color="auto"/>
            </w:tcBorders>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220" w:type="dxa"/>
            <w:vAlign w:val="bottom"/>
            <w:tcBorders>
              <w:bottom w:val="single" w:sz="8" w:color="auto"/>
            </w:tcBorders>
            <w:shd w:val="clear" w:color="auto" w:fill="F3F3F3"/>
          </w:tcPr>
          <w:p>
            <w:pPr>
              <w:spacing w:after="0"/>
              <w:rPr>
                <w:sz w:val="19"/>
                <w:szCs w:val="19"/>
                <w:color w:val="auto"/>
              </w:rPr>
            </w:pPr>
          </w:p>
        </w:tc>
        <w:tc>
          <w:tcPr>
            <w:tcW w:w="1060" w:type="dxa"/>
            <w:vAlign w:val="bottom"/>
            <w:tcBorders>
              <w:bottom w:val="single" w:sz="8" w:color="auto"/>
            </w:tcBorders>
            <w:vMerge w:val="continue"/>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320" w:type="dxa"/>
            <w:vAlign w:val="bottom"/>
            <w:tcBorders>
              <w:bottom w:val="single" w:sz="8" w:color="auto"/>
            </w:tcBorders>
            <w:shd w:val="clear" w:color="auto" w:fill="F3F3F3"/>
          </w:tcPr>
          <w:p>
            <w:pPr>
              <w:spacing w:after="0"/>
              <w:rPr>
                <w:sz w:val="19"/>
                <w:szCs w:val="19"/>
                <w:color w:val="auto"/>
              </w:rPr>
            </w:pPr>
          </w:p>
        </w:tc>
        <w:tc>
          <w:tcPr>
            <w:tcW w:w="1060" w:type="dxa"/>
            <w:vAlign w:val="bottom"/>
            <w:tcBorders>
              <w:bottom w:val="single" w:sz="8" w:color="auto"/>
            </w:tcBorders>
            <w:vMerge w:val="continue"/>
            <w:shd w:val="clear" w:color="auto" w:fill="F3F3F3"/>
          </w:tcPr>
          <w:p>
            <w:pPr>
              <w:spacing w:after="0"/>
              <w:rPr>
                <w:sz w:val="19"/>
                <w:szCs w:val="19"/>
                <w:color w:val="auto"/>
              </w:rPr>
            </w:pPr>
          </w:p>
        </w:tc>
        <w:tc>
          <w:tcPr>
            <w:tcW w:w="100" w:type="dxa"/>
            <w:vAlign w:val="bottom"/>
            <w:vMerge w:val="continue"/>
            <w:shd w:val="clear" w:color="auto" w:fill="F3F3F3"/>
          </w:tcPr>
          <w:p>
            <w:pPr>
              <w:spacing w:after="0"/>
              <w:rPr>
                <w:sz w:val="19"/>
                <w:szCs w:val="19"/>
                <w:color w:val="auto"/>
              </w:rPr>
            </w:pPr>
          </w:p>
        </w:tc>
        <w:tc>
          <w:tcPr>
            <w:tcW w:w="1400" w:type="dxa"/>
            <w:vAlign w:val="bottom"/>
            <w:tcBorders>
              <w:bottom w:val="single" w:sz="8" w:color="auto"/>
            </w:tcBorders>
            <w:vMerge w:val="continue"/>
            <w:shd w:val="clear" w:color="auto" w:fill="F3F3F3"/>
          </w:tcPr>
          <w:p>
            <w:pPr>
              <w:spacing w:after="0"/>
              <w:rPr>
                <w:sz w:val="19"/>
                <w:szCs w:val="19"/>
                <w:color w:val="auto"/>
              </w:rPr>
            </w:pPr>
          </w:p>
        </w:tc>
        <w:tc>
          <w:tcPr>
            <w:tcW w:w="80" w:type="dxa"/>
            <w:vAlign w:val="bottom"/>
            <w:shd w:val="clear" w:color="auto" w:fill="F3F3F3"/>
          </w:tcPr>
          <w:p>
            <w:pPr>
              <w:spacing w:after="0"/>
              <w:rPr>
                <w:sz w:val="19"/>
                <w:szCs w:val="19"/>
                <w:color w:val="auto"/>
              </w:rPr>
            </w:pPr>
          </w:p>
        </w:tc>
        <w:tc>
          <w:tcPr>
            <w:tcW w:w="440" w:type="dxa"/>
            <w:vAlign w:val="bottom"/>
            <w:tcBorders>
              <w:bottom w:val="single" w:sz="8" w:color="auto"/>
            </w:tcBorders>
            <w:shd w:val="clear" w:color="auto" w:fill="F3F3F3"/>
          </w:tcPr>
          <w:p>
            <w:pPr>
              <w:spacing w:after="0"/>
              <w:rPr>
                <w:sz w:val="19"/>
                <w:szCs w:val="19"/>
                <w:color w:val="auto"/>
              </w:rPr>
            </w:pPr>
          </w:p>
        </w:tc>
        <w:tc>
          <w:tcPr>
            <w:tcW w:w="960" w:type="dxa"/>
            <w:vAlign w:val="bottom"/>
            <w:tcBorders>
              <w:bottom w:val="single" w:sz="8" w:color="auto"/>
            </w:tcBorders>
            <w:vMerge w:val="continue"/>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4140" w:type="dxa"/>
            <w:vAlign w:val="bottom"/>
          </w:tcPr>
          <w:p>
            <w:pPr>
              <w:ind w:left="20"/>
              <w:spacing w:after="0" w:line="147" w:lineRule="exact"/>
              <w:rPr>
                <w:sz w:val="20"/>
                <w:szCs w:val="20"/>
                <w:color w:val="auto"/>
              </w:rPr>
            </w:pPr>
            <w:r>
              <w:rPr>
                <w:rFonts w:ascii="Arial" w:cs="Arial" w:eastAsia="Arial" w:hAnsi="Arial"/>
                <w:sz w:val="17"/>
                <w:szCs w:val="17"/>
                <w:b w:val="1"/>
                <w:bCs w:val="1"/>
                <w:color w:val="auto"/>
              </w:rPr>
              <w:t>Net income attributable to Piper Sandler</w:t>
            </w:r>
          </w:p>
        </w:tc>
        <w:tc>
          <w:tcPr>
            <w:tcW w:w="2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65,242</w:t>
            </w:r>
          </w:p>
        </w:tc>
        <w:tc>
          <w:tcPr>
            <w:tcW w:w="380" w:type="dxa"/>
            <w:vAlign w:val="bottom"/>
            <w:gridSpan w:val="3"/>
            <w:vMerge w:val="restart"/>
          </w:tcPr>
          <w:p>
            <w:pPr>
              <w:jc w:val="right"/>
              <w:ind w:right="100"/>
              <w:spacing w:after="0"/>
              <w:rPr>
                <w:sz w:val="20"/>
                <w:szCs w:val="20"/>
                <w:color w:val="auto"/>
              </w:rPr>
            </w:pPr>
            <w:r>
              <w:rPr>
                <w:rFonts w:ascii="Arial" w:cs="Arial" w:eastAsia="Arial" w:hAnsi="Arial"/>
                <w:sz w:val="17"/>
                <w:szCs w:val="17"/>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7"/>
                <w:szCs w:val="17"/>
                <w:color w:val="auto"/>
              </w:rPr>
              <w:t>64,915</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135"/>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2"/>
                <w:szCs w:val="12"/>
                <w:color w:val="auto"/>
              </w:rPr>
            </w:pPr>
          </w:p>
        </w:tc>
        <w:tc>
          <w:tcPr>
            <w:tcW w:w="140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13.8</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vMerge w:val="restart"/>
          </w:tcPr>
          <w:p>
            <w:pPr>
              <w:jc w:val="right"/>
              <w:ind w:right="135"/>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198"/>
        </w:trPr>
        <w:tc>
          <w:tcPr>
            <w:tcW w:w="4140" w:type="dxa"/>
            <w:vAlign w:val="bottom"/>
          </w:tcPr>
          <w:p>
            <w:pPr>
              <w:ind w:left="100"/>
              <w:spacing w:after="0"/>
              <w:rPr>
                <w:sz w:val="20"/>
                <w:szCs w:val="20"/>
                <w:color w:val="auto"/>
              </w:rPr>
            </w:pPr>
            <w:r>
              <w:rPr>
                <w:rFonts w:ascii="Arial" w:cs="Arial" w:eastAsia="Arial" w:hAnsi="Arial"/>
                <w:sz w:val="17"/>
                <w:szCs w:val="17"/>
                <w:b w:val="1"/>
                <w:bCs w:val="1"/>
                <w:color w:val="auto"/>
              </w:rPr>
              <w:t>Companies</w:t>
            </w:r>
          </w:p>
        </w:tc>
        <w:tc>
          <w:tcPr>
            <w:tcW w:w="2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380" w:type="dxa"/>
            <w:vAlign w:val="bottom"/>
            <w:gridSpan w:val="3"/>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340" w:hanging="332"/>
        <w:spacing w:after="0" w:line="283" w:lineRule="auto"/>
        <w:tabs>
          <w:tab w:leader="none" w:pos="338" w:val="left"/>
        </w:tabs>
        <w:numPr>
          <w:ilvl w:val="0"/>
          <w:numId w:val="12"/>
        </w:numPr>
        <w:rPr>
          <w:rFonts w:ascii="Arial" w:cs="Arial" w:eastAsia="Arial" w:hAnsi="Arial"/>
          <w:sz w:val="15"/>
          <w:szCs w:val="15"/>
          <w:i w:val="1"/>
          <w:iCs w:val="1"/>
          <w:color w:val="auto"/>
        </w:rPr>
      </w:pPr>
      <w:r>
        <w:rPr>
          <w:rFonts w:ascii="Arial" w:cs="Arial" w:eastAsia="Arial" w:hAnsi="Arial"/>
          <w:sz w:val="15"/>
          <w:szCs w:val="15"/>
          <w:i w:val="1"/>
          <w:iCs w:val="1"/>
          <w:color w:val="auto"/>
        </w:rPr>
        <w:t>The presentation of total non-interest expenses changed to remove the separate line item for deal-related expenses. See Note 1 to our unaudited consolidated financial statements included in Part I, Item 1 of this Quarterly Report on Form 10-Q.</w:t>
      </w:r>
    </w:p>
    <w:p>
      <w:pPr>
        <w:spacing w:after="0" w:line="11" w:lineRule="exact"/>
        <w:rPr>
          <w:rFonts w:ascii="Arial" w:cs="Arial" w:eastAsia="Arial" w:hAnsi="Arial"/>
          <w:sz w:val="15"/>
          <w:szCs w:val="15"/>
          <w:i w:val="1"/>
          <w:iCs w:val="1"/>
          <w:color w:val="auto"/>
        </w:rPr>
      </w:pPr>
    </w:p>
    <w:p>
      <w:pPr>
        <w:ind w:left="340"/>
        <w:spacing w:after="0"/>
        <w:rPr>
          <w:rFonts w:ascii="Arial" w:cs="Arial" w:eastAsia="Arial" w:hAnsi="Arial"/>
          <w:sz w:val="15"/>
          <w:szCs w:val="15"/>
          <w:i w:val="1"/>
          <w:iCs w:val="1"/>
          <w:color w:val="auto"/>
        </w:rPr>
      </w:pPr>
      <w:r>
        <w:rPr>
          <w:rFonts w:ascii="Arial" w:cs="Arial" w:eastAsia="Arial" w:hAnsi="Arial"/>
          <w:sz w:val="15"/>
          <w:szCs w:val="15"/>
          <w:i w:val="1"/>
          <w:iCs w:val="1"/>
          <w:color w:val="auto"/>
        </w:rPr>
        <w:t>N/M – Not meaningful</w:t>
      </w:r>
    </w:p>
    <w:p>
      <w:pPr>
        <w:spacing w:after="0" w:line="200" w:lineRule="exact"/>
        <w:rPr>
          <w:sz w:val="20"/>
          <w:szCs w:val="20"/>
          <w:color w:val="auto"/>
        </w:rPr>
      </w:pPr>
    </w:p>
    <w:p>
      <w:pPr>
        <w:spacing w:after="0" w:line="37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Net revenues on a U.S. GAAP basis were $474.4 million for the three months ended March 31, 2026, compared with $357.3 million in the prior-year period. For the three months ended March 31, 2026, adjusted net revenues were $469.5 million, compared with $383.3 million in the first quarter of 2025. The variance explanations for net revenues and adjusted net revenues are consistent on both a U.S. GAAP and non-GAAP basis unless stated otherwise. See "Explanation and Reconciliation of Non-GAAP Financial Measures" for a detailed explanation of the adjustments made to the corresponding U.S. GAAP measures and a reconciliation of U.S. GAAP to adjusted, non-GAAP financial information.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960" w:type="dxa"/>
            <w:vAlign w:val="bottom"/>
          </w:tcPr>
          <w:p>
            <w:pPr>
              <w:spacing w:after="0"/>
              <w:rPr>
                <w:sz w:val="20"/>
                <w:szCs w:val="20"/>
                <w:color w:val="auto"/>
              </w:rPr>
            </w:pPr>
            <w:r>
              <w:rPr>
                <w:rFonts w:ascii="Arial" w:cs="Arial" w:eastAsia="Arial" w:hAnsi="Arial"/>
                <w:sz w:val="17"/>
                <w:szCs w:val="17"/>
                <w:color w:val="auto"/>
              </w:rPr>
              <w:t>The following table provides supplemental business information:</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342"/>
        </w:trPr>
        <w:tc>
          <w:tcPr>
            <w:tcW w:w="7960" w:type="dxa"/>
            <w:vAlign w:val="bottom"/>
          </w:tcPr>
          <w:p>
            <w:pPr>
              <w:spacing w:after="0"/>
              <w:rPr>
                <w:sz w:val="24"/>
                <w:szCs w:val="24"/>
                <w:color w:val="auto"/>
              </w:rPr>
            </w:pPr>
          </w:p>
        </w:tc>
        <w:tc>
          <w:tcPr>
            <w:tcW w:w="2800" w:type="dxa"/>
            <w:vAlign w:val="bottom"/>
            <w:gridSpan w:val="4"/>
          </w:tcPr>
          <w:p>
            <w:pPr>
              <w:jc w:val="center"/>
              <w:ind w:left="395"/>
              <w:spacing w:after="0"/>
              <w:rPr>
                <w:sz w:val="20"/>
                <w:szCs w:val="20"/>
                <w:color w:val="auto"/>
              </w:rPr>
            </w:pPr>
            <w:r>
              <w:rPr>
                <w:rFonts w:ascii="Arial" w:cs="Arial" w:eastAsia="Arial" w:hAnsi="Arial"/>
                <w:sz w:val="17"/>
                <w:szCs w:val="17"/>
                <w:b w:val="1"/>
                <w:bCs w:val="1"/>
                <w:color w:val="auto"/>
                <w:w w:val="99"/>
              </w:rPr>
              <w:t>Three Months Ended</w:t>
            </w:r>
          </w:p>
        </w:tc>
        <w:tc>
          <w:tcPr>
            <w:tcW w:w="480" w:type="dxa"/>
            <w:vAlign w:val="bottom"/>
          </w:tcPr>
          <w:p>
            <w:pPr>
              <w:spacing w:after="0"/>
              <w:rPr>
                <w:sz w:val="24"/>
                <w:szCs w:val="24"/>
                <w:color w:val="auto"/>
              </w:rPr>
            </w:pPr>
          </w:p>
        </w:tc>
      </w:tr>
      <w:tr>
        <w:trPr>
          <w:trHeight w:val="236"/>
        </w:trPr>
        <w:tc>
          <w:tcPr>
            <w:tcW w:w="796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535"/>
              <w:spacing w:after="0"/>
              <w:rPr>
                <w:sz w:val="20"/>
                <w:szCs w:val="20"/>
                <w:color w:val="auto"/>
              </w:rPr>
            </w:pPr>
            <w:r>
              <w:rPr>
                <w:rFonts w:ascii="Arial" w:cs="Arial" w:eastAsia="Arial" w:hAnsi="Arial"/>
                <w:sz w:val="17"/>
                <w:szCs w:val="17"/>
                <w:b w:val="1"/>
                <w:bCs w:val="1"/>
                <w:color w:val="auto"/>
              </w:rPr>
              <w:t>March 31,</w:t>
            </w:r>
          </w:p>
        </w:tc>
        <w:tc>
          <w:tcPr>
            <w:tcW w:w="480" w:type="dxa"/>
            <w:vAlign w:val="bottom"/>
            <w:tcBorders>
              <w:bottom w:val="single" w:sz="8" w:color="auto"/>
            </w:tcBorders>
          </w:tcPr>
          <w:p>
            <w:pPr>
              <w:spacing w:after="0"/>
              <w:rPr>
                <w:sz w:val="20"/>
                <w:szCs w:val="20"/>
                <w:color w:val="auto"/>
              </w:rPr>
            </w:pPr>
          </w:p>
        </w:tc>
      </w:tr>
      <w:tr>
        <w:trPr>
          <w:trHeight w:val="225"/>
        </w:trPr>
        <w:tc>
          <w:tcPr>
            <w:tcW w:w="7960" w:type="dxa"/>
            <w:vAlign w:val="bottom"/>
            <w:tcBorders>
              <w:bottom w:val="single" w:sz="8" w:color="F3F3F3"/>
            </w:tcBorders>
          </w:tcPr>
          <w:p>
            <w:pPr>
              <w:spacing w:after="0"/>
              <w:rPr>
                <w:sz w:val="19"/>
                <w:szCs w:val="19"/>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2026</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F3F3F3"/>
            </w:tcBorders>
          </w:tcPr>
          <w:p>
            <w:pPr>
              <w:spacing w:after="0"/>
              <w:rPr>
                <w:sz w:val="19"/>
                <w:szCs w:val="19"/>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2025</w:t>
            </w:r>
          </w:p>
        </w:tc>
        <w:tc>
          <w:tcPr>
            <w:tcW w:w="480" w:type="dxa"/>
            <w:vAlign w:val="bottom"/>
            <w:tcBorders>
              <w:bottom w:val="single" w:sz="8" w:color="auto"/>
            </w:tcBorders>
          </w:tcPr>
          <w:p>
            <w:pPr>
              <w:spacing w:after="0"/>
              <w:rPr>
                <w:sz w:val="19"/>
                <w:szCs w:val="19"/>
                <w:color w:val="auto"/>
              </w:rPr>
            </w:pPr>
          </w:p>
        </w:tc>
      </w:tr>
      <w:tr>
        <w:trPr>
          <w:trHeight w:val="210"/>
        </w:trPr>
        <w:tc>
          <w:tcPr>
            <w:tcW w:w="796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Advisory services</w:t>
            </w:r>
          </w:p>
        </w:tc>
        <w:tc>
          <w:tcPr>
            <w:tcW w:w="1100" w:type="dxa"/>
            <w:vAlign w:val="bottom"/>
            <w:shd w:val="clear" w:color="auto" w:fill="F3F3F3"/>
          </w:tcPr>
          <w:p>
            <w:pPr>
              <w:spacing w:after="0"/>
              <w:rPr>
                <w:sz w:val="18"/>
                <w:szCs w:val="18"/>
                <w:color w:val="auto"/>
              </w:rPr>
            </w:pPr>
          </w:p>
        </w:tc>
        <w:tc>
          <w:tcPr>
            <w:tcW w:w="500" w:type="dxa"/>
            <w:vAlign w:val="bottom"/>
            <w:shd w:val="clear" w:color="auto" w:fill="F3F3F3"/>
          </w:tcPr>
          <w:p>
            <w:pPr>
              <w:spacing w:after="0"/>
              <w:rPr>
                <w:sz w:val="18"/>
                <w:szCs w:val="18"/>
                <w:color w:val="auto"/>
              </w:rPr>
            </w:pPr>
          </w:p>
        </w:tc>
        <w:tc>
          <w:tcPr>
            <w:tcW w:w="80" w:type="dxa"/>
            <w:vAlign w:val="bottom"/>
            <w:shd w:val="clear" w:color="auto" w:fill="F3F3F3"/>
          </w:tcPr>
          <w:p>
            <w:pPr>
              <w:spacing w:after="0"/>
              <w:rPr>
                <w:sz w:val="18"/>
                <w:szCs w:val="18"/>
                <w:color w:val="auto"/>
              </w:rPr>
            </w:pPr>
          </w:p>
        </w:tc>
        <w:tc>
          <w:tcPr>
            <w:tcW w:w="112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r>
      <w:tr>
        <w:trPr>
          <w:trHeight w:val="229"/>
        </w:trPr>
        <w:tc>
          <w:tcPr>
            <w:tcW w:w="7960" w:type="dxa"/>
            <w:vAlign w:val="bottom"/>
          </w:tcPr>
          <w:p>
            <w:pPr>
              <w:ind w:left="140"/>
              <w:spacing w:after="0"/>
              <w:rPr>
                <w:sz w:val="20"/>
                <w:szCs w:val="20"/>
                <w:color w:val="auto"/>
              </w:rPr>
            </w:pPr>
            <w:r>
              <w:rPr>
                <w:rFonts w:ascii="Arial" w:cs="Arial" w:eastAsia="Arial" w:hAnsi="Arial"/>
                <w:sz w:val="17"/>
                <w:szCs w:val="17"/>
                <w:color w:val="auto"/>
              </w:rPr>
              <w:t>Completed M&amp;A and restructuring transactions</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69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29"/>
        </w:trPr>
        <w:tc>
          <w:tcPr>
            <w:tcW w:w="79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Completed capital advisory transactions (1)</w:t>
            </w:r>
          </w:p>
        </w:tc>
        <w:tc>
          <w:tcPr>
            <w:tcW w:w="1100" w:type="dxa"/>
            <w:vAlign w:val="bottom"/>
            <w:tcBorders>
              <w:bottom w:val="single" w:sz="8" w:color="auto"/>
            </w:tcBorders>
            <w:shd w:val="clear" w:color="auto" w:fill="F3F3F3"/>
          </w:tcPr>
          <w:p>
            <w:pPr>
              <w:spacing w:after="0"/>
              <w:rPr>
                <w:sz w:val="19"/>
                <w:szCs w:val="19"/>
                <w:color w:val="auto"/>
              </w:rPr>
            </w:pPr>
          </w:p>
        </w:tc>
        <w:tc>
          <w:tcPr>
            <w:tcW w:w="5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25</w:t>
            </w:r>
          </w:p>
        </w:tc>
        <w:tc>
          <w:tcPr>
            <w:tcW w:w="80" w:type="dxa"/>
            <w:vAlign w:val="bottom"/>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13</w:t>
            </w:r>
          </w:p>
        </w:tc>
      </w:tr>
      <w:tr>
        <w:trPr>
          <w:trHeight w:val="223"/>
        </w:trPr>
        <w:tc>
          <w:tcPr>
            <w:tcW w:w="7960" w:type="dxa"/>
            <w:vAlign w:val="bottom"/>
          </w:tcPr>
          <w:p>
            <w:pPr>
              <w:ind w:left="140"/>
              <w:spacing w:after="0"/>
              <w:rPr>
                <w:sz w:val="20"/>
                <w:szCs w:val="20"/>
                <w:color w:val="auto"/>
              </w:rPr>
            </w:pPr>
            <w:r>
              <w:rPr>
                <w:rFonts w:ascii="Arial" w:cs="Arial" w:eastAsia="Arial" w:hAnsi="Arial"/>
                <w:sz w:val="17"/>
                <w:szCs w:val="17"/>
                <w:b w:val="1"/>
                <w:bCs w:val="1"/>
                <w:color w:val="auto"/>
              </w:rPr>
              <w:t>Total completed advisory transactions</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94</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57"/>
        </w:trPr>
        <w:tc>
          <w:tcPr>
            <w:tcW w:w="7960" w:type="dxa"/>
            <w:vAlign w:val="bottom"/>
            <w:shd w:val="clear" w:color="auto" w:fill="F3F3F3"/>
          </w:tcPr>
          <w:p>
            <w:pPr>
              <w:spacing w:after="0"/>
              <w:rPr>
                <w:sz w:val="22"/>
                <w:szCs w:val="22"/>
                <w:color w:val="auto"/>
              </w:rPr>
            </w:pPr>
          </w:p>
        </w:tc>
        <w:tc>
          <w:tcPr>
            <w:tcW w:w="1100" w:type="dxa"/>
            <w:vAlign w:val="bottom"/>
            <w:shd w:val="clear" w:color="auto" w:fill="F3F3F3"/>
          </w:tcPr>
          <w:p>
            <w:pPr>
              <w:spacing w:after="0"/>
              <w:rPr>
                <w:sz w:val="22"/>
                <w:szCs w:val="22"/>
                <w:color w:val="auto"/>
              </w:rPr>
            </w:pPr>
          </w:p>
        </w:tc>
        <w:tc>
          <w:tcPr>
            <w:tcW w:w="500" w:type="dxa"/>
            <w:vAlign w:val="bottom"/>
            <w:shd w:val="clear" w:color="auto" w:fill="F3F3F3"/>
          </w:tcPr>
          <w:p>
            <w:pPr>
              <w:spacing w:after="0"/>
              <w:rPr>
                <w:sz w:val="22"/>
                <w:szCs w:val="22"/>
                <w:color w:val="auto"/>
              </w:rPr>
            </w:pPr>
          </w:p>
        </w:tc>
        <w:tc>
          <w:tcPr>
            <w:tcW w:w="80" w:type="dxa"/>
            <w:vAlign w:val="bottom"/>
            <w:shd w:val="clear" w:color="auto" w:fill="F3F3F3"/>
          </w:tcPr>
          <w:p>
            <w:pPr>
              <w:spacing w:after="0"/>
              <w:rPr>
                <w:sz w:val="22"/>
                <w:szCs w:val="22"/>
                <w:color w:val="auto"/>
              </w:rPr>
            </w:pPr>
          </w:p>
        </w:tc>
        <w:tc>
          <w:tcPr>
            <w:tcW w:w="1120" w:type="dxa"/>
            <w:vAlign w:val="bottom"/>
            <w:shd w:val="clear" w:color="auto" w:fill="F3F3F3"/>
          </w:tcPr>
          <w:p>
            <w:pPr>
              <w:spacing w:after="0"/>
              <w:rPr>
                <w:sz w:val="22"/>
                <w:szCs w:val="22"/>
                <w:color w:val="auto"/>
              </w:rPr>
            </w:pPr>
          </w:p>
        </w:tc>
        <w:tc>
          <w:tcPr>
            <w:tcW w:w="480" w:type="dxa"/>
            <w:vAlign w:val="bottom"/>
            <w:shd w:val="clear" w:color="auto" w:fill="F3F3F3"/>
          </w:tcPr>
          <w:p>
            <w:pPr>
              <w:spacing w:after="0"/>
              <w:rPr>
                <w:sz w:val="22"/>
                <w:szCs w:val="22"/>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Corporate financings</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79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Total equity transactions priced</w:t>
            </w:r>
          </w:p>
        </w:tc>
        <w:tc>
          <w:tcPr>
            <w:tcW w:w="1100" w:type="dxa"/>
            <w:vAlign w:val="bottom"/>
            <w:shd w:val="clear" w:color="auto" w:fill="F3F3F3"/>
          </w:tcPr>
          <w:p>
            <w:pPr>
              <w:spacing w:after="0"/>
              <w:rPr>
                <w:sz w:val="19"/>
                <w:szCs w:val="19"/>
                <w:color w:val="auto"/>
              </w:rPr>
            </w:pPr>
          </w:p>
        </w:tc>
        <w:tc>
          <w:tcPr>
            <w:tcW w:w="50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26</w:t>
            </w:r>
          </w:p>
        </w:tc>
        <w:tc>
          <w:tcPr>
            <w:tcW w:w="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c>
          <w:tcPr>
            <w:tcW w:w="4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15</w:t>
            </w:r>
          </w:p>
        </w:tc>
      </w:tr>
      <w:tr>
        <w:trPr>
          <w:trHeight w:val="230"/>
        </w:trPr>
        <w:tc>
          <w:tcPr>
            <w:tcW w:w="7960" w:type="dxa"/>
            <w:vAlign w:val="bottom"/>
          </w:tcPr>
          <w:p>
            <w:pPr>
              <w:ind w:left="140"/>
              <w:spacing w:after="0"/>
              <w:rPr>
                <w:sz w:val="20"/>
                <w:szCs w:val="20"/>
                <w:color w:val="auto"/>
              </w:rPr>
            </w:pPr>
            <w:r>
              <w:rPr>
                <w:rFonts w:ascii="Arial" w:cs="Arial" w:eastAsia="Arial" w:hAnsi="Arial"/>
                <w:sz w:val="17"/>
                <w:szCs w:val="17"/>
                <w:color w:val="auto"/>
              </w:rPr>
              <w:t>Book run equity transactions priced</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26</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29"/>
        </w:trPr>
        <w:tc>
          <w:tcPr>
            <w:tcW w:w="79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Total debt and preferred transactions priced</w:t>
            </w:r>
          </w:p>
        </w:tc>
        <w:tc>
          <w:tcPr>
            <w:tcW w:w="1100" w:type="dxa"/>
            <w:vAlign w:val="bottom"/>
            <w:shd w:val="clear" w:color="auto" w:fill="F3F3F3"/>
          </w:tcPr>
          <w:p>
            <w:pPr>
              <w:spacing w:after="0"/>
              <w:rPr>
                <w:sz w:val="19"/>
                <w:szCs w:val="19"/>
                <w:color w:val="auto"/>
              </w:rPr>
            </w:pPr>
          </w:p>
        </w:tc>
        <w:tc>
          <w:tcPr>
            <w:tcW w:w="50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10</w:t>
            </w:r>
          </w:p>
        </w:tc>
        <w:tc>
          <w:tcPr>
            <w:tcW w:w="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c>
          <w:tcPr>
            <w:tcW w:w="4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12</w:t>
            </w:r>
          </w:p>
        </w:tc>
      </w:tr>
      <w:tr>
        <w:trPr>
          <w:trHeight w:val="230"/>
        </w:trPr>
        <w:tc>
          <w:tcPr>
            <w:tcW w:w="7960" w:type="dxa"/>
            <w:vAlign w:val="bottom"/>
          </w:tcPr>
          <w:p>
            <w:pPr>
              <w:ind w:left="140"/>
              <w:spacing w:after="0"/>
              <w:rPr>
                <w:sz w:val="20"/>
                <w:szCs w:val="20"/>
                <w:color w:val="auto"/>
              </w:rPr>
            </w:pPr>
            <w:r>
              <w:rPr>
                <w:rFonts w:ascii="Arial" w:cs="Arial" w:eastAsia="Arial" w:hAnsi="Arial"/>
                <w:sz w:val="17"/>
                <w:szCs w:val="17"/>
                <w:color w:val="auto"/>
              </w:rPr>
              <w:t>Book run debt and preferred transactions priced</w:t>
            </w:r>
          </w:p>
        </w:tc>
        <w:tc>
          <w:tcPr>
            <w:tcW w:w="1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56"/>
        </w:trPr>
        <w:tc>
          <w:tcPr>
            <w:tcW w:w="7960" w:type="dxa"/>
            <w:vAlign w:val="bottom"/>
            <w:shd w:val="clear" w:color="auto" w:fill="F3F3F3"/>
          </w:tcPr>
          <w:p>
            <w:pPr>
              <w:spacing w:after="0"/>
              <w:rPr>
                <w:sz w:val="22"/>
                <w:szCs w:val="22"/>
                <w:color w:val="auto"/>
              </w:rPr>
            </w:pPr>
          </w:p>
        </w:tc>
        <w:tc>
          <w:tcPr>
            <w:tcW w:w="1100" w:type="dxa"/>
            <w:vAlign w:val="bottom"/>
            <w:shd w:val="clear" w:color="auto" w:fill="F3F3F3"/>
          </w:tcPr>
          <w:p>
            <w:pPr>
              <w:spacing w:after="0"/>
              <w:rPr>
                <w:sz w:val="22"/>
                <w:szCs w:val="22"/>
                <w:color w:val="auto"/>
              </w:rPr>
            </w:pPr>
          </w:p>
        </w:tc>
        <w:tc>
          <w:tcPr>
            <w:tcW w:w="500" w:type="dxa"/>
            <w:vAlign w:val="bottom"/>
            <w:shd w:val="clear" w:color="auto" w:fill="F3F3F3"/>
          </w:tcPr>
          <w:p>
            <w:pPr>
              <w:spacing w:after="0"/>
              <w:rPr>
                <w:sz w:val="22"/>
                <w:szCs w:val="22"/>
                <w:color w:val="auto"/>
              </w:rPr>
            </w:pPr>
          </w:p>
        </w:tc>
        <w:tc>
          <w:tcPr>
            <w:tcW w:w="80" w:type="dxa"/>
            <w:vAlign w:val="bottom"/>
            <w:shd w:val="clear" w:color="auto" w:fill="F3F3F3"/>
          </w:tcPr>
          <w:p>
            <w:pPr>
              <w:spacing w:after="0"/>
              <w:rPr>
                <w:sz w:val="22"/>
                <w:szCs w:val="22"/>
                <w:color w:val="auto"/>
              </w:rPr>
            </w:pPr>
          </w:p>
        </w:tc>
        <w:tc>
          <w:tcPr>
            <w:tcW w:w="1120" w:type="dxa"/>
            <w:vAlign w:val="bottom"/>
            <w:shd w:val="clear" w:color="auto" w:fill="F3F3F3"/>
          </w:tcPr>
          <w:p>
            <w:pPr>
              <w:spacing w:after="0"/>
              <w:rPr>
                <w:sz w:val="22"/>
                <w:szCs w:val="22"/>
                <w:color w:val="auto"/>
              </w:rPr>
            </w:pPr>
          </w:p>
        </w:tc>
        <w:tc>
          <w:tcPr>
            <w:tcW w:w="480" w:type="dxa"/>
            <w:vAlign w:val="bottom"/>
            <w:shd w:val="clear" w:color="auto" w:fill="F3F3F3"/>
          </w:tcPr>
          <w:p>
            <w:pPr>
              <w:spacing w:after="0"/>
              <w:rPr>
                <w:sz w:val="22"/>
                <w:szCs w:val="22"/>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7"/>
                <w:szCs w:val="17"/>
                <w:b w:val="1"/>
                <w:bCs w:val="1"/>
                <w:i w:val="1"/>
                <w:iCs w:val="1"/>
                <w:color w:val="auto"/>
              </w:rPr>
              <w:t>Advisory services and corporate financing</w:t>
            </w:r>
          </w:p>
        </w:tc>
        <w:tc>
          <w:tcPr>
            <w:tcW w:w="1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0"/>
        </w:trPr>
        <w:tc>
          <w:tcPr>
            <w:tcW w:w="79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Number of managing directors</w:t>
            </w:r>
          </w:p>
        </w:tc>
        <w:tc>
          <w:tcPr>
            <w:tcW w:w="1100" w:type="dxa"/>
            <w:vAlign w:val="bottom"/>
            <w:shd w:val="clear" w:color="auto" w:fill="F3F3F3"/>
          </w:tcPr>
          <w:p>
            <w:pPr>
              <w:spacing w:after="0"/>
              <w:rPr>
                <w:sz w:val="19"/>
                <w:szCs w:val="19"/>
                <w:color w:val="auto"/>
              </w:rPr>
            </w:pPr>
          </w:p>
        </w:tc>
        <w:tc>
          <w:tcPr>
            <w:tcW w:w="50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192</w:t>
            </w:r>
          </w:p>
        </w:tc>
        <w:tc>
          <w:tcPr>
            <w:tcW w:w="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c>
          <w:tcPr>
            <w:tcW w:w="4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182</w:t>
            </w:r>
          </w:p>
        </w:tc>
      </w:tr>
      <w:tr>
        <w:trPr>
          <w:trHeight w:val="257"/>
        </w:trPr>
        <w:tc>
          <w:tcPr>
            <w:tcW w:w="7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29"/>
        </w:trPr>
        <w:tc>
          <w:tcPr>
            <w:tcW w:w="796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Municipal negotiated issues</w:t>
            </w:r>
          </w:p>
        </w:tc>
        <w:tc>
          <w:tcPr>
            <w:tcW w:w="1100" w:type="dxa"/>
            <w:vAlign w:val="bottom"/>
            <w:shd w:val="clear" w:color="auto" w:fill="F3F3F3"/>
          </w:tcPr>
          <w:p>
            <w:pPr>
              <w:spacing w:after="0"/>
              <w:rPr>
                <w:sz w:val="19"/>
                <w:szCs w:val="19"/>
                <w:color w:val="auto"/>
              </w:rPr>
            </w:pPr>
          </w:p>
        </w:tc>
        <w:tc>
          <w:tcPr>
            <w:tcW w:w="500" w:type="dxa"/>
            <w:vAlign w:val="bottom"/>
            <w:shd w:val="clear" w:color="auto" w:fill="F3F3F3"/>
          </w:tcPr>
          <w:p>
            <w:pPr>
              <w:spacing w:after="0"/>
              <w:rPr>
                <w:sz w:val="19"/>
                <w:szCs w:val="19"/>
                <w:color w:val="auto"/>
              </w:rPr>
            </w:pPr>
          </w:p>
        </w:tc>
        <w:tc>
          <w:tcPr>
            <w:tcW w:w="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r>
      <w:tr>
        <w:trPr>
          <w:trHeight w:val="230"/>
        </w:trPr>
        <w:tc>
          <w:tcPr>
            <w:tcW w:w="7960" w:type="dxa"/>
            <w:vAlign w:val="bottom"/>
          </w:tcPr>
          <w:p>
            <w:pPr>
              <w:ind w:left="140"/>
              <w:spacing w:after="0"/>
              <w:rPr>
                <w:sz w:val="20"/>
                <w:szCs w:val="20"/>
                <w:color w:val="auto"/>
              </w:rPr>
            </w:pPr>
            <w:r>
              <w:rPr>
                <w:rFonts w:ascii="Arial" w:cs="Arial" w:eastAsia="Arial" w:hAnsi="Arial"/>
                <w:sz w:val="17"/>
                <w:szCs w:val="17"/>
                <w:color w:val="auto"/>
              </w:rPr>
              <w:t>Aggregate par value of issues priced (in billions)</w:t>
            </w:r>
          </w:p>
        </w:tc>
        <w:tc>
          <w:tcPr>
            <w:tcW w:w="1100" w:type="dxa"/>
            <w:vAlign w:val="bottom"/>
          </w:tcPr>
          <w:p>
            <w:pPr>
              <w:jc w:val="right"/>
              <w:ind w:right="895"/>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3.3</w:t>
            </w:r>
          </w:p>
        </w:tc>
        <w:tc>
          <w:tcPr>
            <w:tcW w:w="80" w:type="dxa"/>
            <w:vAlign w:val="bottom"/>
          </w:tcPr>
          <w:p>
            <w:pPr>
              <w:spacing w:after="0"/>
              <w:rPr>
                <w:sz w:val="19"/>
                <w:szCs w:val="19"/>
                <w:color w:val="auto"/>
              </w:rPr>
            </w:pPr>
          </w:p>
        </w:tc>
        <w:tc>
          <w:tcPr>
            <w:tcW w:w="1120" w:type="dxa"/>
            <w:vAlign w:val="bottom"/>
          </w:tcPr>
          <w:p>
            <w:pPr>
              <w:jc w:val="right"/>
              <w:ind w:right="915"/>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30"/>
        </w:trPr>
        <w:tc>
          <w:tcPr>
            <w:tcW w:w="7960" w:type="dxa"/>
            <w:vAlign w:val="bottom"/>
            <w:shd w:val="clear" w:color="auto" w:fill="F3F3F3"/>
          </w:tcPr>
          <w:p>
            <w:pPr>
              <w:ind w:left="140"/>
              <w:spacing w:after="0"/>
              <w:rPr>
                <w:sz w:val="20"/>
                <w:szCs w:val="20"/>
                <w:color w:val="auto"/>
              </w:rPr>
            </w:pPr>
            <w:r>
              <w:rPr>
                <w:rFonts w:ascii="Arial" w:cs="Arial" w:eastAsia="Arial" w:hAnsi="Arial"/>
                <w:sz w:val="17"/>
                <w:szCs w:val="17"/>
                <w:color w:val="auto"/>
              </w:rPr>
              <w:t>Total issues priced</w:t>
            </w:r>
          </w:p>
        </w:tc>
        <w:tc>
          <w:tcPr>
            <w:tcW w:w="1100" w:type="dxa"/>
            <w:vAlign w:val="bottom"/>
            <w:shd w:val="clear" w:color="auto" w:fill="F3F3F3"/>
          </w:tcPr>
          <w:p>
            <w:pPr>
              <w:spacing w:after="0"/>
              <w:rPr>
                <w:sz w:val="19"/>
                <w:szCs w:val="19"/>
                <w:color w:val="auto"/>
              </w:rPr>
            </w:pPr>
          </w:p>
        </w:tc>
        <w:tc>
          <w:tcPr>
            <w:tcW w:w="50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98</w:t>
            </w:r>
          </w:p>
        </w:tc>
        <w:tc>
          <w:tcPr>
            <w:tcW w:w="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c>
          <w:tcPr>
            <w:tcW w:w="4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94</w:t>
            </w:r>
          </w:p>
        </w:tc>
      </w:tr>
      <w:tr>
        <w:trPr>
          <w:trHeight w:val="257"/>
        </w:trPr>
        <w:tc>
          <w:tcPr>
            <w:tcW w:w="79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29"/>
        </w:trPr>
        <w:tc>
          <w:tcPr>
            <w:tcW w:w="796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Equity brokerage</w:t>
            </w:r>
          </w:p>
        </w:tc>
        <w:tc>
          <w:tcPr>
            <w:tcW w:w="1100" w:type="dxa"/>
            <w:vAlign w:val="bottom"/>
            <w:shd w:val="clear" w:color="auto" w:fill="F3F3F3"/>
          </w:tcPr>
          <w:p>
            <w:pPr>
              <w:spacing w:after="0"/>
              <w:rPr>
                <w:sz w:val="19"/>
                <w:szCs w:val="19"/>
                <w:color w:val="auto"/>
              </w:rPr>
            </w:pPr>
          </w:p>
        </w:tc>
        <w:tc>
          <w:tcPr>
            <w:tcW w:w="500" w:type="dxa"/>
            <w:vAlign w:val="bottom"/>
            <w:shd w:val="clear" w:color="auto" w:fill="F3F3F3"/>
          </w:tcPr>
          <w:p>
            <w:pPr>
              <w:spacing w:after="0"/>
              <w:rPr>
                <w:sz w:val="19"/>
                <w:szCs w:val="19"/>
                <w:color w:val="auto"/>
              </w:rPr>
            </w:pPr>
          </w:p>
        </w:tc>
        <w:tc>
          <w:tcPr>
            <w:tcW w:w="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r>
      <w:tr>
        <w:trPr>
          <w:trHeight w:val="235"/>
        </w:trPr>
        <w:tc>
          <w:tcPr>
            <w:tcW w:w="7960" w:type="dxa"/>
            <w:vAlign w:val="bottom"/>
          </w:tcPr>
          <w:p>
            <w:pPr>
              <w:ind w:left="140"/>
              <w:spacing w:after="0"/>
              <w:rPr>
                <w:sz w:val="20"/>
                <w:szCs w:val="20"/>
                <w:color w:val="auto"/>
              </w:rPr>
            </w:pPr>
            <w:r>
              <w:rPr>
                <w:rFonts w:ascii="Arial" w:cs="Arial" w:eastAsia="Arial" w:hAnsi="Arial"/>
                <w:sz w:val="17"/>
                <w:szCs w:val="17"/>
                <w:color w:val="auto"/>
              </w:rPr>
              <w:t>Number of shares traded (in billions)</w:t>
            </w:r>
          </w:p>
        </w:tc>
        <w:tc>
          <w:tcPr>
            <w:tcW w:w="1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7"/>
                <w:szCs w:val="17"/>
                <w:b w:val="1"/>
                <w:bCs w:val="1"/>
                <w:color w:val="auto"/>
              </w:rPr>
              <w:t>3.1</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2.9</w:t>
            </w:r>
          </w:p>
        </w:tc>
      </w:tr>
    </w:tbl>
    <w:p>
      <w:pPr>
        <w:spacing w:after="0" w:line="126"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i w:val="1"/>
          <w:iCs w:val="1"/>
          <w:color w:val="auto"/>
        </w:rPr>
        <w:t>(1)</w:t>
        <w:tab/>
        <w:t>Includes debt capital markets advisory transactions and equity and debt private placements.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Banking Revenues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Investment banking revenues comprise all of the revenues generated through advisory services activities, which include M&amp;A, equity and debt private placements, debt capital markets advisory, restructuring and private capital advisory, and municipal financial advisory transactions. Investment banking revenues also include equity and debt corporate financing activities and municipal financings.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the first quarter of 2026, investment banking revenues increased 26.0 percent to $348.2 million, compared with $276.3 million in the prior-year period. For the three months ended March 31, 2026, advisory services revenues were $251.0 million, up 15.8 percent compared to $216.8 million in the first quarter of 2025, driven primarily by more completed transactions. Our advisory services performance during the quarter was led by our healthcare and financial services groups with solid contributions from our services &amp; industrials and energy, power &amp; infrastructure teams. For the three months ended March 31, 2026, corporate financing revenues were $73.3 million, up 121.8 percent compared with $33.1 million for the three months ended March 31, 2025, resulting from more completed equity financings and a higher average fee. Performance during the first quarter of 2026 was led by the healthcare sector, and we served as book runner on all 23 completed healthcare equity deals. Municipal financing revenues for the three months ended March 31, 2026 were $23.9 million, down 9.4 percent compared to $26.4 million in the prior-year period, driven by reduced municipal negotiated issuance activity in our specialty sector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Institutional Brokerage Revenues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Institutional brokerage revenues comprise all of the revenues generated through trading activities, which principally consist of facilitating customer trades, as well as fees received for our research services and corporate access offerings. Our results may vary from quarter to quarter as a result of changes in trading margins, trading gains and losses, net interest spreads, trading volumes and the amount of fees received for research services.</w:t>
      </w:r>
    </w:p>
    <w:p>
      <w:pPr>
        <w:spacing w:after="0" w:line="20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For the three months ended March 31, 2026, institutional brokerage revenues were $110.8 million, up 8.8 percent compared with $101.9 million in the prior-year period. Equity brokerage revenues were $60.5 million in the first quarter of 2026, up 11.5 percent compared with $54.3 million in the corresponding period of 2025, driven by increased client activity resulting from higher market volatility. For the three months ended March 31, 2026, fixed income services revenues were $50.4 million, up 5.7 percent compared to $47.7 million in the prior-year period. Revenues for the current quarter benefited from several balance sheet restructuring trades, which offset a decline in client activity resulting from interest rate volatility.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income represents amounts earned from holding long inventory positions and cash balances, as well as interest earned on installment fee receivables. For the three months ended March 31, 2026, interest income increased to $11.6 million, compared with $10.0 million for the three months ended March 31, 2025, reflecting higher interest income on our cash balances.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Income/(Loss)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Investment income/(loss) includes realized and unrealized gains and losses on investments, including amounts attributable to noncontrolling interests, in our alternative asset management funds, as well as management and performance fees generated from those funds. For the three months ended March 31, 2026, we recorded investment income of $4.5 million, compared to an investment loss of $29.6 million in the corresponding period of 2025. In the first quarter of 2026, we recorded gains on our investments and the noncontrolling interests in the alternative asset funds that we manage primarily due to higher public company equity valuations. Excluding the impact of noncontrolling interests, adjusted investment loss was $0.4 million for the three months ended March 31, 2026, compared with $3.6 million for the three months ended March 31, 2025.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Interest expense represents amounts associated with financing, economically hedging and holding short inventory positions, including interest paid on our financing arrangements, as well as commitment fees on certain short-term financing arrangements. For the three months ended March 31, 2026, interest expense decreased to $0.7 million, compared with $1.3 million in the prior-year period.</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Non-Interest Expenses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Non-interest expenses on a U.S. GAAP basis were $386.5 million for the three months ended March 31, 2026, compared to $327.8 million in the prior-year period. For the three months ended March 31, 2026, adjusted non-interest expenses were $375.7 million, compared with $314.8 million for the first quarter of 2025. The variance explanations for non-interest expenses and adjusted non-interest expenses are consistent on both a U.S. GAAP and non-GAAP basis unless stated otherwise. See "Explanation and Reconciliation of Non-GAAP Financial Measures" for a detailed explanation of the adjustments made to the corresponding U.S. GAAP measures and a reconciliation of U.S. GAAP to adjusted, non-GAAP financial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Compensation and benefits expenses, which are the largest component of our expenses, include salaries, incentive compensation, benefits, stock-based compensation, employment taxes, the reversal of expenses associated with the forfeiture of stock-based compensation and other employee-related costs. A significant portion of compensation expense is comprised of variable incentive arrangements, including discretionary incentive compensation, the amount of which fluctuates in proportion to the level of business activity, increasing with higher revenues and operating profits and decreasing with lower revenues and operating profits. Other compensation costs, primarily base salaries and benefits, are more fixed in nature. In conjunction with our acquisitions, we have granted restricted stock, restricted cash with service conditions, and restricted mutual fund shares of investment funds ("MFRS Awards"), which are amortized to compensation expense over the service period. We have also entered into forgivable loans with service conditions, which are amortized to compensation expense over the loan term. Additionally, expense estimates related to revenue-based earnout arrangements with service conditions entered into as part of our acquisitions are amortized to compensation expense over the service period.</w:t>
      </w:r>
    </w:p>
    <w:p>
      <w:pPr>
        <w:spacing w:after="0" w:line="2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following table summarizes our expected future acquisition-related compensation expense for restricted stock, restricted cash with service conditions, MFRS Awards and forgivable loans with service conditions, as well as expense estimates related to revenue-based earnout arrangements: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40" w:type="dxa"/>
            <w:vAlign w:val="bottom"/>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3"/>
        </w:trPr>
        <w:tc>
          <w:tcPr>
            <w:tcW w:w="9640" w:type="dxa"/>
            <w:vAlign w:val="bottom"/>
            <w:shd w:val="clear" w:color="auto" w:fill="F3F3F3"/>
          </w:tcPr>
          <w:p>
            <w:pPr>
              <w:ind w:left="20"/>
              <w:spacing w:after="0"/>
              <w:rPr>
                <w:sz w:val="20"/>
                <w:szCs w:val="20"/>
                <w:color w:val="auto"/>
              </w:rPr>
            </w:pPr>
            <w:r>
              <w:rPr>
                <w:rFonts w:ascii="Arial" w:cs="Arial" w:eastAsia="Arial" w:hAnsi="Arial"/>
                <w:sz w:val="17"/>
                <w:szCs w:val="17"/>
                <w:color w:val="auto"/>
              </w:rPr>
              <w:t>Remainder of 2026</w:t>
            </w:r>
          </w:p>
        </w:tc>
        <w:tc>
          <w:tcPr>
            <w:tcW w:w="560" w:type="dxa"/>
            <w:vAlign w:val="bottom"/>
            <w:shd w:val="clear" w:color="auto" w:fill="F3F3F3"/>
          </w:tcPr>
          <w:p>
            <w:pPr>
              <w:jc w:val="right"/>
              <w:ind w:right="37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19,246</w:t>
            </w:r>
          </w:p>
        </w:tc>
      </w:tr>
      <w:tr>
        <w:trPr>
          <w:trHeight w:val="227"/>
        </w:trPr>
        <w:tc>
          <w:tcPr>
            <w:tcW w:w="9640" w:type="dxa"/>
            <w:vAlign w:val="bottom"/>
          </w:tcPr>
          <w:p>
            <w:pPr>
              <w:ind w:left="20"/>
              <w:spacing w:after="0"/>
              <w:rPr>
                <w:sz w:val="20"/>
                <w:szCs w:val="20"/>
                <w:color w:val="auto"/>
              </w:rPr>
            </w:pPr>
            <w:r>
              <w:rPr>
                <w:rFonts w:ascii="Arial" w:cs="Arial" w:eastAsia="Arial" w:hAnsi="Arial"/>
                <w:sz w:val="17"/>
                <w:szCs w:val="17"/>
                <w:color w:val="auto"/>
              </w:rPr>
              <w:t>2027</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19,840</w:t>
            </w:r>
          </w:p>
        </w:tc>
      </w:tr>
      <w:tr>
        <w:trPr>
          <w:trHeight w:val="232"/>
        </w:trPr>
        <w:tc>
          <w:tcPr>
            <w:tcW w:w="9640" w:type="dxa"/>
            <w:vAlign w:val="bottom"/>
            <w:shd w:val="clear" w:color="auto" w:fill="F3F3F3"/>
          </w:tcPr>
          <w:p>
            <w:pPr>
              <w:ind w:left="20"/>
              <w:spacing w:after="0"/>
              <w:rPr>
                <w:sz w:val="20"/>
                <w:szCs w:val="20"/>
                <w:color w:val="auto"/>
              </w:rPr>
            </w:pPr>
            <w:r>
              <w:rPr>
                <w:rFonts w:ascii="Arial" w:cs="Arial" w:eastAsia="Arial" w:hAnsi="Arial"/>
                <w:sz w:val="17"/>
                <w:szCs w:val="17"/>
                <w:color w:val="auto"/>
              </w:rPr>
              <w:t>2028</w:t>
            </w:r>
          </w:p>
        </w:tc>
        <w:tc>
          <w:tcPr>
            <w:tcW w:w="560" w:type="dxa"/>
            <w:vAlign w:val="bottom"/>
            <w:shd w:val="clear" w:color="auto" w:fill="F3F3F3"/>
          </w:tcPr>
          <w:p>
            <w:pPr>
              <w:spacing w:after="0"/>
              <w:rPr>
                <w:sz w:val="20"/>
                <w:szCs w:val="20"/>
                <w:color w:val="auto"/>
              </w:rPr>
            </w:pPr>
          </w:p>
        </w:tc>
        <w:tc>
          <w:tcPr>
            <w:tcW w:w="10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9,018</w:t>
            </w:r>
          </w:p>
        </w:tc>
      </w:tr>
      <w:tr>
        <w:trPr>
          <w:trHeight w:val="227"/>
        </w:trPr>
        <w:tc>
          <w:tcPr>
            <w:tcW w:w="9640" w:type="dxa"/>
            <w:vAlign w:val="bottom"/>
            <w:tcBorders>
              <w:bottom w:val="single" w:sz="8" w:color="F3F3F3"/>
            </w:tcBorders>
          </w:tcPr>
          <w:p>
            <w:pPr>
              <w:ind w:left="20"/>
              <w:spacing w:after="0"/>
              <w:rPr>
                <w:sz w:val="20"/>
                <w:szCs w:val="20"/>
                <w:color w:val="auto"/>
              </w:rPr>
            </w:pPr>
            <w:r>
              <w:rPr>
                <w:rFonts w:ascii="Arial" w:cs="Arial" w:eastAsia="Arial" w:hAnsi="Arial"/>
                <w:sz w:val="17"/>
                <w:szCs w:val="17"/>
                <w:color w:val="auto"/>
              </w:rPr>
              <w:t>2029</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5,029</w:t>
            </w:r>
          </w:p>
        </w:tc>
      </w:tr>
      <w:tr>
        <w:trPr>
          <w:trHeight w:val="249"/>
        </w:trPr>
        <w:tc>
          <w:tcPr>
            <w:tcW w:w="964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Total</w:t>
            </w:r>
          </w:p>
        </w:tc>
        <w:tc>
          <w:tcPr>
            <w:tcW w:w="560" w:type="dxa"/>
            <w:vAlign w:val="bottom"/>
            <w:tcBorders>
              <w:bottom w:val="single" w:sz="8" w:color="auto"/>
            </w:tcBorders>
            <w:shd w:val="clear" w:color="auto" w:fill="F3F3F3"/>
          </w:tcPr>
          <w:p>
            <w:pPr>
              <w:jc w:val="right"/>
              <w:ind w:right="37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53,133</w:t>
            </w:r>
          </w:p>
        </w:tc>
      </w:tr>
      <w:tr>
        <w:trPr>
          <w:trHeight w:val="20"/>
        </w:trPr>
        <w:tc>
          <w:tcPr>
            <w:tcW w:w="9640" w:type="dxa"/>
            <w:vAlign w:val="bottom"/>
            <w:tcBorders>
              <w:top w:val="single" w:sz="8" w:color="F3F3F3"/>
            </w:tcBorders>
          </w:tcPr>
          <w:p>
            <w:pPr>
              <w:spacing w:after="0" w:line="20" w:lineRule="exact"/>
              <w:rPr>
                <w:sz w:val="1"/>
                <w:szCs w:val="1"/>
                <w:color w:val="auto"/>
              </w:rPr>
            </w:pPr>
          </w:p>
        </w:tc>
        <w:tc>
          <w:tcPr>
            <w:tcW w:w="560" w:type="dxa"/>
            <w:vAlign w:val="bottom"/>
            <w:tcBorders>
              <w:top w:val="single" w:sz="8" w:color="F3F3F3"/>
              <w:bottom w:val="single" w:sz="8" w:color="auto"/>
            </w:tcBorders>
          </w:tcPr>
          <w:p>
            <w:pPr>
              <w:spacing w:after="0" w:line="20" w:lineRule="exact"/>
              <w:rPr>
                <w:sz w:val="1"/>
                <w:szCs w:val="1"/>
                <w:color w:val="auto"/>
              </w:rPr>
            </w:pPr>
          </w:p>
        </w:tc>
        <w:tc>
          <w:tcPr>
            <w:tcW w:w="1040" w:type="dxa"/>
            <w:vAlign w:val="bottom"/>
            <w:tcBorders>
              <w:top w:val="single" w:sz="8" w:color="F3F3F3"/>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For the three months ended March 31, 2026, compensation and benefits expenses increased 19.2 percent to $296.1 million, compared with $248.5 million in the corresponding period of 2025, due to higher revenues. Compensation and benefits expenses as a percentage of net revenues decreased to 62.4 percent in the first quarter of 2026, compared to 69.5 percent in the first quarter of 2025, primarily due to higher net revenues, including investment income on our investments and the noncontrolling interests in the alternative asset management funds that we manage in the current quarter compared to an investment loss in the first quarter of 2025. Our adjusted compensation ratio decreased to 61.6 percent in the first quarter of 2026, compared with 62.5 percent in the first quarter of 2025, primarily due to higher adjusted net revenues.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Equipment</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 the three months ended March 31, 2026, occupancy and equipment expenses decreased slightly to $18.1 million, compared with $18.2 million in the corresponding period of 2025. We expect our occupancy and equipment expenses will increase in 2026 as a result of relocating our office space in New York City,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Outside Services</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Outside services expenses include securities processing expenses, outsourced technology functions, outside legal fees, fund expenses associated with our consolidated alternative asset management funds and other professional fees. Outside services expenses decreased 11.3 percent to $13.7 million in the first quarter of 2026, compared with $15.5 million in the corresponding period of 2025, primarily due to lower professional fees.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Communication expenses include costs for telecommunication and data communication, primarily consisting of expenses for obtaining third-party market data information. For the three months ended March 31, 2026, communication expenses decreased 3.4 percent to $14.9 million, compared with $15.4 million in the corresponding period of 2025, primarily due to lower market data services expenses.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Business Development</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Marketing and business development expenses include travel and entertainment costs, advertising and third-party marketing fees. For the three months ended March 31, 2026, marketing and business development expenses increased modestly to $15.2 million, compared with $14.9 million in the corresponding period of 2025.</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Execution and Clearance</w:t>
      </w:r>
    </w:p>
    <w:p>
      <w:pPr>
        <w:spacing w:after="0" w:line="179"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For the three months ended March 31, 2026, trade execution and clearance expenses decreased slightly to $5.0 million, compared with $5.2 million in the corresponding period of 2025.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 Amortization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definite-lived intangible assets was $2.1 million for the three months ended March 31, 2026 and 2025.</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future aggregate amortization expense of our intangible assets with determinable lives: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9600" w:type="dxa"/>
            <w:vAlign w:val="bottom"/>
          </w:tcPr>
          <w:p>
            <w:pPr>
              <w:ind w:left="20"/>
              <w:spacing w:after="0"/>
              <w:rPr>
                <w:sz w:val="20"/>
                <w:szCs w:val="20"/>
                <w:color w:val="auto"/>
              </w:rPr>
            </w:pPr>
            <w:r>
              <w:rPr>
                <w:rFonts w:ascii="Arial" w:cs="Arial" w:eastAsia="Arial" w:hAnsi="Arial"/>
                <w:sz w:val="15"/>
                <w:szCs w:val="15"/>
                <w:i w:val="1"/>
                <w:iCs w:val="1"/>
                <w:color w:val="auto"/>
              </w:rPr>
              <w:t>(Amounts in thousands)</w:t>
            </w: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3"/>
        </w:trPr>
        <w:tc>
          <w:tcPr>
            <w:tcW w:w="9600" w:type="dxa"/>
            <w:vAlign w:val="bottom"/>
            <w:shd w:val="clear" w:color="auto" w:fill="F3F3F3"/>
          </w:tcPr>
          <w:p>
            <w:pPr>
              <w:ind w:left="20"/>
              <w:spacing w:after="0"/>
              <w:rPr>
                <w:sz w:val="20"/>
                <w:szCs w:val="20"/>
                <w:color w:val="auto"/>
              </w:rPr>
            </w:pPr>
            <w:r>
              <w:rPr>
                <w:rFonts w:ascii="Arial" w:cs="Arial" w:eastAsia="Arial" w:hAnsi="Arial"/>
                <w:sz w:val="17"/>
                <w:szCs w:val="17"/>
                <w:color w:val="auto"/>
              </w:rPr>
              <w:t>Remainder of 2026</w:t>
            </w:r>
          </w:p>
        </w:tc>
        <w:tc>
          <w:tcPr>
            <w:tcW w:w="560" w:type="dxa"/>
            <w:vAlign w:val="bottom"/>
            <w:shd w:val="clear" w:color="auto" w:fill="F3F3F3"/>
          </w:tcPr>
          <w:p>
            <w:pPr>
              <w:jc w:val="right"/>
              <w:ind w:right="355"/>
              <w:spacing w:after="0"/>
              <w:rPr>
                <w:sz w:val="20"/>
                <w:szCs w:val="20"/>
                <w:color w:val="auto"/>
              </w:rPr>
            </w:pPr>
            <w:r>
              <w:rPr>
                <w:rFonts w:ascii="Arial" w:cs="Arial" w:eastAsia="Arial" w:hAnsi="Arial"/>
                <w:sz w:val="17"/>
                <w:szCs w:val="17"/>
                <w:color w:val="auto"/>
              </w:rPr>
              <w:t>$</w:t>
            </w:r>
          </w:p>
        </w:tc>
        <w:tc>
          <w:tcPr>
            <w:tcW w:w="10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5,928</w:t>
            </w:r>
          </w:p>
        </w:tc>
      </w:tr>
      <w:tr>
        <w:trPr>
          <w:trHeight w:val="227"/>
        </w:trPr>
        <w:tc>
          <w:tcPr>
            <w:tcW w:w="9600" w:type="dxa"/>
            <w:vAlign w:val="bottom"/>
          </w:tcPr>
          <w:p>
            <w:pPr>
              <w:ind w:left="20"/>
              <w:spacing w:after="0"/>
              <w:rPr>
                <w:sz w:val="20"/>
                <w:szCs w:val="20"/>
                <w:color w:val="auto"/>
              </w:rPr>
            </w:pPr>
            <w:r>
              <w:rPr>
                <w:rFonts w:ascii="Arial" w:cs="Arial" w:eastAsia="Arial" w:hAnsi="Arial"/>
                <w:sz w:val="17"/>
                <w:szCs w:val="17"/>
                <w:color w:val="auto"/>
              </w:rPr>
              <w:t>2027</w:t>
            </w:r>
          </w:p>
        </w:tc>
        <w:tc>
          <w:tcPr>
            <w:tcW w:w="5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3,480</w:t>
            </w:r>
          </w:p>
        </w:tc>
      </w:tr>
      <w:tr>
        <w:trPr>
          <w:trHeight w:val="232"/>
        </w:trPr>
        <w:tc>
          <w:tcPr>
            <w:tcW w:w="9600" w:type="dxa"/>
            <w:vAlign w:val="bottom"/>
            <w:shd w:val="clear" w:color="auto" w:fill="F3F3F3"/>
          </w:tcPr>
          <w:p>
            <w:pPr>
              <w:ind w:left="20"/>
              <w:spacing w:after="0"/>
              <w:rPr>
                <w:sz w:val="20"/>
                <w:szCs w:val="20"/>
                <w:color w:val="auto"/>
              </w:rPr>
            </w:pPr>
            <w:r>
              <w:rPr>
                <w:rFonts w:ascii="Arial" w:cs="Arial" w:eastAsia="Arial" w:hAnsi="Arial"/>
                <w:sz w:val="17"/>
                <w:szCs w:val="17"/>
                <w:color w:val="auto"/>
              </w:rPr>
              <w:t>2028</w:t>
            </w:r>
          </w:p>
        </w:tc>
        <w:tc>
          <w:tcPr>
            <w:tcW w:w="560" w:type="dxa"/>
            <w:vAlign w:val="bottom"/>
            <w:shd w:val="clear" w:color="auto" w:fill="F3F3F3"/>
          </w:tcPr>
          <w:p>
            <w:pPr>
              <w:spacing w:after="0"/>
              <w:rPr>
                <w:sz w:val="20"/>
                <w:szCs w:val="20"/>
                <w:color w:val="auto"/>
              </w:rPr>
            </w:pPr>
          </w:p>
        </w:tc>
        <w:tc>
          <w:tcPr>
            <w:tcW w:w="10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2,191</w:t>
            </w:r>
          </w:p>
        </w:tc>
      </w:tr>
      <w:tr>
        <w:trPr>
          <w:trHeight w:val="227"/>
        </w:trPr>
        <w:tc>
          <w:tcPr>
            <w:tcW w:w="9600" w:type="dxa"/>
            <w:vAlign w:val="bottom"/>
            <w:tcBorders>
              <w:bottom w:val="single" w:sz="8" w:color="F3F3F3"/>
            </w:tcBorders>
          </w:tcPr>
          <w:p>
            <w:pPr>
              <w:ind w:left="20"/>
              <w:spacing w:after="0"/>
              <w:rPr>
                <w:sz w:val="20"/>
                <w:szCs w:val="20"/>
                <w:color w:val="auto"/>
              </w:rPr>
            </w:pPr>
            <w:r>
              <w:rPr>
                <w:rFonts w:ascii="Arial" w:cs="Arial" w:eastAsia="Arial" w:hAnsi="Arial"/>
                <w:sz w:val="17"/>
                <w:szCs w:val="17"/>
                <w:color w:val="auto"/>
              </w:rPr>
              <w:t>2029</w:t>
            </w:r>
          </w:p>
        </w:tc>
        <w:tc>
          <w:tcPr>
            <w:tcW w:w="5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541</w:t>
            </w:r>
          </w:p>
        </w:tc>
      </w:tr>
      <w:tr>
        <w:trPr>
          <w:trHeight w:val="249"/>
        </w:trPr>
        <w:tc>
          <w:tcPr>
            <w:tcW w:w="960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Total</w:t>
            </w:r>
          </w:p>
        </w:tc>
        <w:tc>
          <w:tcPr>
            <w:tcW w:w="560" w:type="dxa"/>
            <w:vAlign w:val="bottom"/>
            <w:tcBorders>
              <w:bottom w:val="single" w:sz="8" w:color="auto"/>
            </w:tcBorders>
            <w:shd w:val="clear" w:color="auto" w:fill="F3F3F3"/>
          </w:tcPr>
          <w:p>
            <w:pPr>
              <w:jc w:val="right"/>
              <w:ind w:right="355"/>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12,140</w:t>
            </w:r>
          </w:p>
        </w:tc>
      </w:tr>
      <w:tr>
        <w:trPr>
          <w:trHeight w:val="20"/>
        </w:trPr>
        <w:tc>
          <w:tcPr>
            <w:tcW w:w="9600" w:type="dxa"/>
            <w:vAlign w:val="bottom"/>
            <w:tcBorders>
              <w:top w:val="single" w:sz="8" w:color="F3F3F3"/>
            </w:tcBorders>
          </w:tcPr>
          <w:p>
            <w:pPr>
              <w:spacing w:after="0" w:line="20" w:lineRule="exact"/>
              <w:rPr>
                <w:sz w:val="1"/>
                <w:szCs w:val="1"/>
                <w:color w:val="auto"/>
              </w:rPr>
            </w:pPr>
          </w:p>
        </w:tc>
        <w:tc>
          <w:tcPr>
            <w:tcW w:w="560" w:type="dxa"/>
            <w:vAlign w:val="bottom"/>
            <w:tcBorders>
              <w:top w:val="single" w:sz="8" w:color="F3F3F3"/>
              <w:bottom w:val="single" w:sz="8" w:color="auto"/>
            </w:tcBorders>
          </w:tcPr>
          <w:p>
            <w:pPr>
              <w:spacing w:after="0" w:line="20" w:lineRule="exact"/>
              <w:rPr>
                <w:sz w:val="1"/>
                <w:szCs w:val="1"/>
                <w:color w:val="auto"/>
              </w:rPr>
            </w:pPr>
          </w:p>
        </w:tc>
        <w:tc>
          <w:tcPr>
            <w:tcW w:w="1040" w:type="dxa"/>
            <w:vAlign w:val="bottom"/>
            <w:tcBorders>
              <w:top w:val="single" w:sz="8" w:color="F3F3F3"/>
              <w:bottom w:val="single" w:sz="8" w:color="auto"/>
            </w:tcBorders>
          </w:tcPr>
          <w:p>
            <w:pPr>
              <w:spacing w:after="0" w:line="20" w:lineRule="exact"/>
              <w:rPr>
                <w:sz w:val="1"/>
                <w:szCs w:val="1"/>
                <w:color w:val="auto"/>
              </w:rPr>
            </w:pP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Other operating expenses primarily include underwriting expenses, insurance costs, license and registration fees, expenses related to our charitable giving program and litigation-related expenses, which consist of the amounts we accrue for and/or pay out related to legal and regulatory matters. The amount of underwriting expenses is dependent on the level of financing deal activity and may vary from period to period. Other operating expenses were $21.5 million in the first quarter of 2026, compared with $8.1 million in the corresponding period of 2025. Other operating expenses for the first quarter of 2026 included $8.5 million in litigation-related expenses as well as higher underwriting costs associated with increased corporate financing deal activity.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Pre-Tax Margin</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Pre-tax margin for the three months ended March 31, 2026 increased to 18.5 percent, compared to 8.2 percent for the corresponding period of 2025. Adjusted pre-tax margin for the three months ended March 31, 2026 increased to 20.0 percent, compared with 17.9 percent for the corresponding period of 2025. In the current quarter, the increase in pre-tax margin on both a U.S. GAAP and adjusted basis was primarily due to higher net revenues. Additionally, U.S. GAAP pre-tax margin increased due to lower compensation and non-compensation ratios.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provision for income taxes was $19.6 million and our effective tax rate was 22.3 percent for the three months ended March 31, 2026. Our adjusted provision for income taxes was $21.9 million and our adjusted effective tax rate was 23.4 percent for the three months ended March 31, 2026. The provision for income taxes on both a U.S. GAAP and adjusted basis included $7.0 million of tax benefits related to stock-based compensation awards vesting at values greater than the grant price. Excluding the impact of this benefit, our adjusted effective tax rate was 30.8 percent.</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provision for income taxes was a benefit of $7.3 million and our effective tax rate was negative 24.9 percent for the three months ended March 31, 2025. Our adjusted provision for income taxes was a benefit of $5.0 million and our adjusted effective tax rate was negative 7.2 percent for the three months ended March 31, 2025. The provision for income taxes on both a U.S. GAAP and adjusted basis included $25.4 million of tax benefits related to stock-based compensation awards vesting at values greater than the grant price and accrued forfeitable dividends paid on vested restricted stock related to acquisitions. Excluding the impact of these benefits, our adjusted effective tax rate was 29.8 percent. The effective tax rate on both a U.S. GAAP and adjusted basis was impacted by non-deductible employee compensation expense, including limitations on the deduction of employee compensation expense enacted with the American Rescue Plan Act of 2021.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EXPLANATION AND RECONCILIATION OF NON-GAAP FINANCIAL MEASURES</w:t>
      </w:r>
    </w:p>
    <w:p>
      <w:pPr>
        <w:spacing w:after="0" w:line="24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Part I, Item 2 of this Quarterly Report on Form 10-Q, we have included financial measures that are not prepared in accordance with U.S. GAAP. Adjustments to these non-GAAP financial measures include (1) the exclusion of investment (income)/loss and non-compensation expenses related to noncontrolling interests, (2) the exclusion of compensation and non-compensation expenses from acquisition-related agreements, (3) the exclusion of amortization of intangible assets related to acquisitions and (4) the income tax impact allocated to the adjustments. For U.S. GAAP purposes, these items are included in each of their respective line items on the consolidated statements of operations.</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These adjustments affect the following financial measures: net revenues, compensation and benefits expenses, non-compensation expenses, total non-interest expenses, income before income tax expense/(benefit), income tax expense/(benefit), net income attributable to Piper Sandler Companies, earnings per diluted common share, compensation ratio, non-compensation ratio, pre-tax margin and effective tax rate.</w:t>
      </w:r>
    </w:p>
    <w:p>
      <w:pPr>
        <w:spacing w:after="0" w:line="20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adjusted weighted average diluted shares outstanding used in the calculation of non-GAAP earnings per diluted common share contains an adjustment to include the acquisition-related common shares for unvested restricted stock awards with service conditions.</w:t>
      </w:r>
    </w:p>
    <w:p>
      <w:pPr>
        <w:spacing w:after="0" w:line="18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Management believes that presenting results and measures on an adjusted, non-GAAP basis in conjunction with the corresponding U.S. GAAP measures provides a more meaningful basis for comparison of its operating results and underlying trends between periods, and enhances the overall understanding of our current financial performance by excluding certain items that may not be indicative of our core operating results. The non-GAAP financial measures should be considered in addition to, not as a substitute for, measures of financial performance prepared in accordance with U.S. GAAP.</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Consolidation of the alternative asset management funds results in the inclusion of the proportionate share of the income or loss attributable to the equity interests in consolidated funds that are not attributable, either directly or indirectly, to us (i.e., noncontrolling interests). This proportionate share is reflected in net income/(loss) attributable to noncontrolling interests in the accompanying consolidated statements of operations, and has no effect on our overall financial performance, as ultimately, this income/(loss) is not income/(loss) for us. The adjusted, non-GAAP financial measures include only the actual proportionate share of the income/(loss) attributable to us as an investor in such alternative asset management funds.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compensation and non-compensation expenses from acquisition-related agreements and amortization of intangible assets are excluded from the adjusted, non-GAAP financial measures as they represent expenses specifically related to acquisitions and therefore are not part of our ongoing operations.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of U.S. GAAP to adjusted, non-GAAP financial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r>
      <w:tr>
        <w:trPr>
          <w:trHeight w:val="236"/>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5"/>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 except per share data)</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r>
      <w:tr>
        <w:trPr>
          <w:trHeight w:val="20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Net revenues:</w:t>
            </w:r>
          </w:p>
        </w:tc>
        <w:tc>
          <w:tcPr>
            <w:tcW w:w="360" w:type="dxa"/>
            <w:vAlign w:val="bottom"/>
            <w:shd w:val="clear" w:color="auto" w:fill="F3F3F3"/>
          </w:tcPr>
          <w:p>
            <w:pPr>
              <w:spacing w:after="0"/>
              <w:rPr>
                <w:sz w:val="18"/>
                <w:szCs w:val="18"/>
                <w:color w:val="auto"/>
              </w:rPr>
            </w:pPr>
          </w:p>
        </w:tc>
        <w:tc>
          <w:tcPr>
            <w:tcW w:w="12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c>
          <w:tcPr>
            <w:tcW w:w="1120" w:type="dxa"/>
            <w:vAlign w:val="bottom"/>
            <w:shd w:val="clear" w:color="auto" w:fill="F3F3F3"/>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Net revenues – U.S. GAAP basis</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474,409</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357,272</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Adjustment:</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Borders>
              <w:bottom w:val="single" w:sz="8" w:color="F3F3F3"/>
            </w:tcBorders>
          </w:tcPr>
          <w:p>
            <w:pPr>
              <w:ind w:left="240"/>
              <w:spacing w:after="0"/>
              <w:rPr>
                <w:sz w:val="20"/>
                <w:szCs w:val="20"/>
                <w:color w:val="auto"/>
              </w:rPr>
            </w:pPr>
            <w:r>
              <w:rPr>
                <w:rFonts w:ascii="Arial" w:cs="Arial" w:eastAsia="Arial" w:hAnsi="Arial"/>
                <w:sz w:val="17"/>
                <w:szCs w:val="17"/>
                <w:color w:val="auto"/>
              </w:rPr>
              <w:t>Investment (income)/loss related to noncontrolling interests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(4,865)</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26,038</w:t>
            </w:r>
          </w:p>
        </w:tc>
      </w:tr>
      <w:tr>
        <w:trPr>
          <w:trHeight w:val="248"/>
        </w:trPr>
        <w:tc>
          <w:tcPr>
            <w:tcW w:w="7940" w:type="dxa"/>
            <w:vAlign w:val="bottom"/>
            <w:tcBorders>
              <w:bottom w:val="single" w:sz="8" w:color="F3F3F3"/>
            </w:tcBorders>
            <w:shd w:val="clear" w:color="auto" w:fill="F3F3F3"/>
          </w:tcPr>
          <w:p>
            <w:pPr>
              <w:ind w:left="140"/>
              <w:spacing w:after="0"/>
              <w:rPr>
                <w:sz w:val="20"/>
                <w:szCs w:val="20"/>
                <w:color w:val="auto"/>
              </w:rPr>
            </w:pPr>
            <w:r>
              <w:rPr>
                <w:rFonts w:ascii="Arial" w:cs="Arial" w:eastAsia="Arial" w:hAnsi="Arial"/>
                <w:sz w:val="17"/>
                <w:szCs w:val="17"/>
                <w:b w:val="1"/>
                <w:bCs w:val="1"/>
                <w:color w:val="auto"/>
              </w:rPr>
              <w:t>Adjusted net revenues</w:t>
            </w:r>
          </w:p>
        </w:tc>
        <w:tc>
          <w:tcPr>
            <w:tcW w:w="360" w:type="dxa"/>
            <w:vAlign w:val="bottom"/>
            <w:tcBorders>
              <w:bottom w:val="single" w:sz="8" w:color="auto"/>
            </w:tcBorders>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469,544</w:t>
            </w:r>
          </w:p>
        </w:tc>
        <w:tc>
          <w:tcPr>
            <w:tcW w:w="10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383,310</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Compensation and benefits: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Compensation and benefits – U.S. GAAP basis</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296,057</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248,457</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Adjustment:</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Borders>
              <w:bottom w:val="single" w:sz="8" w:color="F3F3F3"/>
            </w:tcBorders>
          </w:tcPr>
          <w:p>
            <w:pPr>
              <w:ind w:left="240"/>
              <w:spacing w:after="0"/>
              <w:rPr>
                <w:sz w:val="20"/>
                <w:szCs w:val="20"/>
                <w:color w:val="auto"/>
              </w:rPr>
            </w:pPr>
            <w:r>
              <w:rPr>
                <w:rFonts w:ascii="Arial" w:cs="Arial" w:eastAsia="Arial" w:hAnsi="Arial"/>
                <w:sz w:val="17"/>
                <w:szCs w:val="17"/>
                <w:color w:val="auto"/>
              </w:rPr>
              <w:t>Compensation from acquisition-related agreements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(6,818)</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(8,888)</w:t>
            </w:r>
          </w:p>
        </w:tc>
      </w:tr>
      <w:tr>
        <w:trPr>
          <w:trHeight w:val="248"/>
        </w:trPr>
        <w:tc>
          <w:tcPr>
            <w:tcW w:w="7940" w:type="dxa"/>
            <w:vAlign w:val="bottom"/>
            <w:tcBorders>
              <w:bottom w:val="single" w:sz="8" w:color="F3F3F3"/>
            </w:tcBorders>
            <w:shd w:val="clear" w:color="auto" w:fill="F3F3F3"/>
          </w:tcPr>
          <w:p>
            <w:pPr>
              <w:ind w:left="140"/>
              <w:spacing w:after="0"/>
              <w:rPr>
                <w:sz w:val="20"/>
                <w:szCs w:val="20"/>
                <w:color w:val="auto"/>
              </w:rPr>
            </w:pPr>
            <w:r>
              <w:rPr>
                <w:rFonts w:ascii="Arial" w:cs="Arial" w:eastAsia="Arial" w:hAnsi="Arial"/>
                <w:sz w:val="17"/>
                <w:szCs w:val="17"/>
                <w:b w:val="1"/>
                <w:bCs w:val="1"/>
                <w:color w:val="auto"/>
              </w:rPr>
              <w:t>Adjusted compensation and benefits</w:t>
            </w:r>
          </w:p>
        </w:tc>
        <w:tc>
          <w:tcPr>
            <w:tcW w:w="360" w:type="dxa"/>
            <w:vAlign w:val="bottom"/>
            <w:tcBorders>
              <w:bottom w:val="single" w:sz="8" w:color="auto"/>
            </w:tcBorders>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289,239</w:t>
            </w:r>
          </w:p>
        </w:tc>
        <w:tc>
          <w:tcPr>
            <w:tcW w:w="10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239,569</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Non-compensation expenses: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Non-compensation expenses – U.S. GAAP basis</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90,421</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79,382</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Adjustments: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7"/>
                <w:szCs w:val="17"/>
                <w:color w:val="auto"/>
              </w:rPr>
              <w:t>Non-compensation expenses related to noncontrolling interests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(1,795)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(2,109)</w:t>
            </w:r>
          </w:p>
        </w:tc>
      </w:tr>
      <w:tr>
        <w:trPr>
          <w:trHeight w:val="229"/>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Amortization of intangible assets related to acquisitions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(2,057)</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(2,076)</w:t>
            </w:r>
          </w:p>
        </w:tc>
      </w:tr>
      <w:tr>
        <w:trPr>
          <w:trHeight w:val="229"/>
        </w:trPr>
        <w:tc>
          <w:tcPr>
            <w:tcW w:w="7940" w:type="dxa"/>
            <w:vAlign w:val="bottom"/>
            <w:tcBorders>
              <w:bottom w:val="single" w:sz="8" w:color="F3F3F3"/>
            </w:tcBorders>
          </w:tcPr>
          <w:p>
            <w:pPr>
              <w:ind w:left="240"/>
              <w:spacing w:after="0"/>
              <w:rPr>
                <w:sz w:val="20"/>
                <w:szCs w:val="20"/>
                <w:color w:val="auto"/>
              </w:rPr>
            </w:pPr>
            <w:r>
              <w:rPr>
                <w:rFonts w:ascii="Arial" w:cs="Arial" w:eastAsia="Arial" w:hAnsi="Arial"/>
                <w:sz w:val="17"/>
                <w:szCs w:val="17"/>
                <w:color w:val="auto"/>
              </w:rPr>
              <w:t>Non-compensation expenses from acquisition-related agreements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7940" w:type="dxa"/>
            <w:vAlign w:val="bottom"/>
            <w:tcBorders>
              <w:bottom w:val="single" w:sz="8" w:color="F3F3F3"/>
            </w:tcBorders>
            <w:shd w:val="clear" w:color="auto" w:fill="F3F3F3"/>
          </w:tcPr>
          <w:p>
            <w:pPr>
              <w:ind w:left="140"/>
              <w:spacing w:after="0"/>
              <w:rPr>
                <w:sz w:val="20"/>
                <w:szCs w:val="20"/>
                <w:color w:val="auto"/>
              </w:rPr>
            </w:pPr>
            <w:r>
              <w:rPr>
                <w:rFonts w:ascii="Arial" w:cs="Arial" w:eastAsia="Arial" w:hAnsi="Arial"/>
                <w:sz w:val="17"/>
                <w:szCs w:val="17"/>
                <w:b w:val="1"/>
                <w:bCs w:val="1"/>
                <w:color w:val="auto"/>
              </w:rPr>
              <w:t>Adjusted non-compensation expenses</w:t>
            </w:r>
          </w:p>
        </w:tc>
        <w:tc>
          <w:tcPr>
            <w:tcW w:w="360" w:type="dxa"/>
            <w:vAlign w:val="bottom"/>
            <w:tcBorders>
              <w:bottom w:val="single" w:sz="8" w:color="auto"/>
            </w:tcBorders>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86,444</w:t>
            </w:r>
          </w:p>
        </w:tc>
        <w:tc>
          <w:tcPr>
            <w:tcW w:w="10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75,197</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Income before income tax expense/(benefit):</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Income before income tax expense/(benefit) – U.S. GAAP basis</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87,931</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29,433</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Adjustments: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7"/>
                <w:szCs w:val="17"/>
                <w:color w:val="auto"/>
              </w:rPr>
              <w:t>Investment (income)/loss related to noncontrolling interests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(4,865)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26,038</w:t>
            </w:r>
          </w:p>
        </w:tc>
      </w:tr>
      <w:tr>
        <w:trPr>
          <w:trHeight w:val="230"/>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Non-compensation expenses related to noncontrolling interests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1,795</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2,109</w:t>
            </w:r>
          </w:p>
        </w:tc>
      </w:tr>
      <w:tr>
        <w:trPr>
          <w:trHeight w:val="230"/>
        </w:trPr>
        <w:tc>
          <w:tcPr>
            <w:tcW w:w="7940" w:type="dxa"/>
            <w:vAlign w:val="bottom"/>
          </w:tcPr>
          <w:p>
            <w:pPr>
              <w:ind w:left="240"/>
              <w:spacing w:after="0"/>
              <w:rPr>
                <w:sz w:val="20"/>
                <w:szCs w:val="20"/>
                <w:color w:val="auto"/>
              </w:rPr>
            </w:pPr>
            <w:r>
              <w:rPr>
                <w:rFonts w:ascii="Arial" w:cs="Arial" w:eastAsia="Arial" w:hAnsi="Arial"/>
                <w:sz w:val="17"/>
                <w:szCs w:val="17"/>
                <w:color w:val="auto"/>
              </w:rPr>
              <w:t>Compensation from acquisition-related agreements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6,818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8,888</w:t>
            </w:r>
          </w:p>
        </w:tc>
      </w:tr>
      <w:tr>
        <w:trPr>
          <w:trHeight w:val="230"/>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Amortization of intangible assets related to acquisitions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2,057</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2,076</w:t>
            </w:r>
          </w:p>
        </w:tc>
      </w:tr>
      <w:tr>
        <w:trPr>
          <w:trHeight w:val="229"/>
        </w:trPr>
        <w:tc>
          <w:tcPr>
            <w:tcW w:w="7940" w:type="dxa"/>
            <w:vAlign w:val="bottom"/>
            <w:tcBorders>
              <w:bottom w:val="single" w:sz="8" w:color="F3F3F3"/>
            </w:tcBorders>
          </w:tcPr>
          <w:p>
            <w:pPr>
              <w:ind w:left="240"/>
              <w:spacing w:after="0"/>
              <w:rPr>
                <w:sz w:val="20"/>
                <w:szCs w:val="20"/>
                <w:color w:val="auto"/>
              </w:rPr>
            </w:pPr>
            <w:r>
              <w:rPr>
                <w:rFonts w:ascii="Arial" w:cs="Arial" w:eastAsia="Arial" w:hAnsi="Arial"/>
                <w:sz w:val="17"/>
                <w:szCs w:val="17"/>
                <w:color w:val="auto"/>
              </w:rPr>
              <w:t>Non-compensation expenses from acquisition-related agreements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125</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7940" w:type="dxa"/>
            <w:vAlign w:val="bottom"/>
            <w:tcBorders>
              <w:bottom w:val="single" w:sz="8" w:color="F3F3F3"/>
            </w:tcBorders>
            <w:shd w:val="clear" w:color="auto" w:fill="F3F3F3"/>
          </w:tcPr>
          <w:p>
            <w:pPr>
              <w:ind w:left="140"/>
              <w:spacing w:after="0"/>
              <w:rPr>
                <w:sz w:val="20"/>
                <w:szCs w:val="20"/>
                <w:color w:val="auto"/>
              </w:rPr>
            </w:pPr>
            <w:r>
              <w:rPr>
                <w:rFonts w:ascii="Arial" w:cs="Arial" w:eastAsia="Arial" w:hAnsi="Arial"/>
                <w:sz w:val="17"/>
                <w:szCs w:val="17"/>
                <w:b w:val="1"/>
                <w:bCs w:val="1"/>
                <w:color w:val="auto"/>
              </w:rPr>
              <w:t>Adjusted operating income</w:t>
            </w:r>
          </w:p>
        </w:tc>
        <w:tc>
          <w:tcPr>
            <w:tcW w:w="360" w:type="dxa"/>
            <w:vAlign w:val="bottom"/>
            <w:tcBorders>
              <w:bottom w:val="single" w:sz="8" w:color="auto"/>
            </w:tcBorders>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93,861</w:t>
            </w:r>
          </w:p>
        </w:tc>
        <w:tc>
          <w:tcPr>
            <w:tcW w:w="10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68,544</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Income tax expense/(benefit):</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Income tax expense/(benefit) – U.S. GAAP basis</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19,619</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(7,335)</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Tax effect of adjustments: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240"/>
              <w:spacing w:after="0"/>
              <w:rPr>
                <w:sz w:val="20"/>
                <w:szCs w:val="20"/>
                <w:color w:val="auto"/>
              </w:rPr>
            </w:pPr>
            <w:r>
              <w:rPr>
                <w:rFonts w:ascii="Arial" w:cs="Arial" w:eastAsia="Arial" w:hAnsi="Arial"/>
                <w:sz w:val="17"/>
                <w:szCs w:val="17"/>
                <w:color w:val="auto"/>
              </w:rPr>
              <w:t>Compensation from acquisition-related agreements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1,730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1,840</w:t>
            </w:r>
          </w:p>
        </w:tc>
      </w:tr>
      <w:tr>
        <w:trPr>
          <w:trHeight w:val="229"/>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Amortization of intangible assets related to acquisitions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545</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544</w:t>
            </w:r>
          </w:p>
        </w:tc>
      </w:tr>
      <w:tr>
        <w:trPr>
          <w:trHeight w:val="230"/>
        </w:trPr>
        <w:tc>
          <w:tcPr>
            <w:tcW w:w="7940" w:type="dxa"/>
            <w:vAlign w:val="bottom"/>
            <w:tcBorders>
              <w:bottom w:val="single" w:sz="8" w:color="F3F3F3"/>
            </w:tcBorders>
          </w:tcPr>
          <w:p>
            <w:pPr>
              <w:ind w:left="240"/>
              <w:spacing w:after="0"/>
              <w:rPr>
                <w:sz w:val="20"/>
                <w:szCs w:val="20"/>
                <w:color w:val="auto"/>
              </w:rPr>
            </w:pPr>
            <w:r>
              <w:rPr>
                <w:rFonts w:ascii="Arial" w:cs="Arial" w:eastAsia="Arial" w:hAnsi="Arial"/>
                <w:sz w:val="17"/>
                <w:szCs w:val="17"/>
                <w:color w:val="auto"/>
              </w:rPr>
              <w:t>Non-compensation expenses from acquisition-related agreements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7940" w:type="dxa"/>
            <w:vAlign w:val="bottom"/>
            <w:tcBorders>
              <w:bottom w:val="single" w:sz="8" w:color="F3F3F3"/>
            </w:tcBorders>
            <w:shd w:val="clear" w:color="auto" w:fill="F3F3F3"/>
          </w:tcPr>
          <w:p>
            <w:pPr>
              <w:ind w:left="140"/>
              <w:spacing w:after="0"/>
              <w:rPr>
                <w:sz w:val="20"/>
                <w:szCs w:val="20"/>
                <w:color w:val="auto"/>
              </w:rPr>
            </w:pPr>
            <w:r>
              <w:rPr>
                <w:rFonts w:ascii="Arial" w:cs="Arial" w:eastAsia="Arial" w:hAnsi="Arial"/>
                <w:sz w:val="17"/>
                <w:szCs w:val="17"/>
                <w:b w:val="1"/>
                <w:bCs w:val="1"/>
                <w:color w:val="auto"/>
              </w:rPr>
              <w:t>Adjusted income tax expense/(benefit)</w:t>
            </w:r>
          </w:p>
        </w:tc>
        <w:tc>
          <w:tcPr>
            <w:tcW w:w="360" w:type="dxa"/>
            <w:vAlign w:val="bottom"/>
            <w:tcBorders>
              <w:bottom w:val="single" w:sz="8" w:color="auto"/>
            </w:tcBorders>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21,927</w:t>
            </w:r>
          </w:p>
        </w:tc>
        <w:tc>
          <w:tcPr>
            <w:tcW w:w="10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(4,951)</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Net income attributable to Piper Sandler Companies: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Net income attributable to Piper Sandler Companies – U.S. GAAP basis</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65,242</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64,915</w:t>
            </w:r>
          </w:p>
        </w:tc>
      </w:tr>
      <w:tr>
        <w:trPr>
          <w:trHeight w:val="230"/>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Adjustments: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7"/>
                <w:szCs w:val="17"/>
                <w:color w:val="auto"/>
              </w:rPr>
              <w:t>Compensation from acquisition-related agreements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5,088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7,048</w:t>
            </w:r>
          </w:p>
        </w:tc>
      </w:tr>
      <w:tr>
        <w:trPr>
          <w:trHeight w:val="230"/>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Amortization of intangible assets related to acquisitions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1,512</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1,532</w:t>
            </w:r>
          </w:p>
        </w:tc>
      </w:tr>
      <w:tr>
        <w:trPr>
          <w:trHeight w:val="229"/>
        </w:trPr>
        <w:tc>
          <w:tcPr>
            <w:tcW w:w="7940" w:type="dxa"/>
            <w:vAlign w:val="bottom"/>
            <w:tcBorders>
              <w:bottom w:val="single" w:sz="8" w:color="F3F3F3"/>
            </w:tcBorders>
          </w:tcPr>
          <w:p>
            <w:pPr>
              <w:ind w:left="240"/>
              <w:spacing w:after="0"/>
              <w:rPr>
                <w:sz w:val="20"/>
                <w:szCs w:val="20"/>
                <w:color w:val="auto"/>
              </w:rPr>
            </w:pPr>
            <w:r>
              <w:rPr>
                <w:rFonts w:ascii="Arial" w:cs="Arial" w:eastAsia="Arial" w:hAnsi="Arial"/>
                <w:sz w:val="17"/>
                <w:szCs w:val="17"/>
                <w:color w:val="auto"/>
              </w:rPr>
              <w:t>Non-compensation expenses from acquisition-related agreements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7940" w:type="dxa"/>
            <w:vAlign w:val="bottom"/>
            <w:tcBorders>
              <w:bottom w:val="single" w:sz="8" w:color="F3F3F3"/>
            </w:tcBorders>
            <w:shd w:val="clear" w:color="auto" w:fill="F3F3F3"/>
          </w:tcPr>
          <w:p>
            <w:pPr>
              <w:ind w:left="140"/>
              <w:spacing w:after="0"/>
              <w:rPr>
                <w:sz w:val="20"/>
                <w:szCs w:val="20"/>
                <w:color w:val="auto"/>
              </w:rPr>
            </w:pPr>
            <w:r>
              <w:rPr>
                <w:rFonts w:ascii="Arial" w:cs="Arial" w:eastAsia="Arial" w:hAnsi="Arial"/>
                <w:sz w:val="17"/>
                <w:szCs w:val="17"/>
                <w:b w:val="1"/>
                <w:bCs w:val="1"/>
                <w:color w:val="auto"/>
              </w:rPr>
              <w:t>Adjusted net income attributable to Piper Sandler Companies</w:t>
            </w:r>
          </w:p>
        </w:tc>
        <w:tc>
          <w:tcPr>
            <w:tcW w:w="360" w:type="dxa"/>
            <w:vAlign w:val="bottom"/>
            <w:tcBorders>
              <w:bottom w:val="single" w:sz="8" w:color="auto"/>
            </w:tcBorders>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71,934</w:t>
            </w:r>
          </w:p>
        </w:tc>
        <w:tc>
          <w:tcPr>
            <w:tcW w:w="10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73,495</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9220"/>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40" w:type="dxa"/>
            <w:vAlign w:val="bottom"/>
            <w:gridSpan w:val="4"/>
          </w:tcPr>
          <w:p>
            <w:pPr>
              <w:jc w:val="right"/>
              <w:ind w:right="715"/>
              <w:spacing w:after="0"/>
              <w:rPr>
                <w:sz w:val="20"/>
                <w:szCs w:val="20"/>
                <w:color w:val="auto"/>
              </w:rPr>
            </w:pPr>
            <w:r>
              <w:rPr>
                <w:rFonts w:ascii="Arial" w:cs="Arial" w:eastAsia="Arial" w:hAnsi="Arial"/>
                <w:sz w:val="17"/>
                <w:szCs w:val="17"/>
                <w:b w:val="1"/>
                <w:bCs w:val="1"/>
                <w:color w:val="auto"/>
              </w:rPr>
              <w:t>Three Months Ended</w:t>
            </w:r>
          </w:p>
        </w:tc>
      </w:tr>
      <w:tr>
        <w:trPr>
          <w:trHeight w:val="236"/>
        </w:trPr>
        <w:tc>
          <w:tcPr>
            <w:tcW w:w="7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3"/>
          </w:tcPr>
          <w:p>
            <w:pPr>
              <w:jc w:val="right"/>
              <w:ind w:right="55"/>
              <w:spacing w:after="0"/>
              <w:rPr>
                <w:sz w:val="20"/>
                <w:szCs w:val="20"/>
                <w:color w:val="auto"/>
              </w:rPr>
            </w:pPr>
            <w:r>
              <w:rPr>
                <w:rFonts w:ascii="Arial" w:cs="Arial" w:eastAsia="Arial" w:hAnsi="Arial"/>
                <w:sz w:val="17"/>
                <w:szCs w:val="17"/>
                <w:b w:val="1"/>
                <w:bCs w:val="1"/>
                <w:color w:val="auto"/>
              </w:rPr>
              <w:t>March 31,</w:t>
            </w:r>
          </w:p>
        </w:tc>
        <w:tc>
          <w:tcPr>
            <w:tcW w:w="1120" w:type="dxa"/>
            <w:vAlign w:val="bottom"/>
            <w:tcBorders>
              <w:bottom w:val="single" w:sz="8" w:color="auto"/>
            </w:tcBorders>
          </w:tcPr>
          <w:p>
            <w:pPr>
              <w:spacing w:after="0"/>
              <w:rPr>
                <w:sz w:val="20"/>
                <w:szCs w:val="20"/>
                <w:color w:val="auto"/>
              </w:rPr>
            </w:pPr>
          </w:p>
        </w:tc>
      </w:tr>
      <w:tr>
        <w:trPr>
          <w:trHeight w:val="225"/>
        </w:trPr>
        <w:tc>
          <w:tcPr>
            <w:tcW w:w="794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thousands, except per share data)</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2025</w:t>
            </w:r>
          </w:p>
        </w:tc>
      </w:tr>
      <w:tr>
        <w:trPr>
          <w:trHeight w:val="209"/>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Earnings per diluted common share (1):</w:t>
            </w:r>
          </w:p>
        </w:tc>
        <w:tc>
          <w:tcPr>
            <w:tcW w:w="360" w:type="dxa"/>
            <w:vAlign w:val="bottom"/>
            <w:shd w:val="clear" w:color="auto" w:fill="F3F3F3"/>
          </w:tcPr>
          <w:p>
            <w:pPr>
              <w:spacing w:after="0"/>
              <w:rPr>
                <w:sz w:val="18"/>
                <w:szCs w:val="18"/>
                <w:color w:val="auto"/>
              </w:rPr>
            </w:pPr>
          </w:p>
        </w:tc>
        <w:tc>
          <w:tcPr>
            <w:tcW w:w="124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c>
          <w:tcPr>
            <w:tcW w:w="1120" w:type="dxa"/>
            <w:vAlign w:val="bottom"/>
            <w:shd w:val="clear" w:color="auto" w:fill="F3F3F3"/>
          </w:tcPr>
          <w:p>
            <w:pPr>
              <w:spacing w:after="0"/>
              <w:rPr>
                <w:sz w:val="18"/>
                <w:szCs w:val="18"/>
                <w:color w:val="auto"/>
              </w:rPr>
            </w:pPr>
          </w:p>
        </w:tc>
      </w:tr>
      <w:tr>
        <w:trPr>
          <w:trHeight w:val="230"/>
        </w:trPr>
        <w:tc>
          <w:tcPr>
            <w:tcW w:w="79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Earnings per diluted common share – U.S. GAAP basis</w:t>
            </w: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0.92</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0.91</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Adjustment for inclusion of unvested acquisition-related stock</w:t>
            </w:r>
          </w:p>
        </w:tc>
        <w:tc>
          <w:tcPr>
            <w:tcW w:w="360" w:type="dxa"/>
            <w:vAlign w:val="bottom"/>
            <w:tcBorders>
              <w:bottom w:val="single" w:sz="8" w:color="auto"/>
            </w:tcBorders>
            <w:shd w:val="clear" w:color="auto" w:fill="F3F3F3"/>
          </w:tcPr>
          <w:p>
            <w:pPr>
              <w:spacing w:after="0"/>
              <w:rPr>
                <w:sz w:val="19"/>
                <w:szCs w:val="19"/>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(0.01)</w:t>
            </w:r>
          </w:p>
        </w:tc>
        <w:tc>
          <w:tcPr>
            <w:tcW w:w="100" w:type="dxa"/>
            <w:vAlign w:val="bottom"/>
            <w:shd w:val="clear" w:color="auto" w:fill="F3F3F3"/>
          </w:tcPr>
          <w:p>
            <w:pPr>
              <w:spacing w:after="0"/>
              <w:rPr>
                <w:sz w:val="19"/>
                <w:szCs w:val="19"/>
                <w:color w:val="auto"/>
              </w:rPr>
            </w:pPr>
          </w:p>
        </w:tc>
        <w:tc>
          <w:tcPr>
            <w:tcW w:w="480" w:type="dxa"/>
            <w:vAlign w:val="bottom"/>
            <w:tcBorders>
              <w:bottom w:val="single" w:sz="8" w:color="auto"/>
            </w:tcBorders>
            <w:shd w:val="clear" w:color="auto" w:fill="F3F3F3"/>
          </w:tcPr>
          <w:p>
            <w:pPr>
              <w:spacing w:after="0"/>
              <w:rPr>
                <w:sz w:val="19"/>
                <w:szCs w:val="19"/>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(0.01)</w:t>
            </w:r>
          </w:p>
        </w:tc>
      </w:tr>
      <w:tr>
        <w:trPr>
          <w:trHeight w:val="223"/>
        </w:trPr>
        <w:tc>
          <w:tcPr>
            <w:tcW w:w="7940" w:type="dxa"/>
            <w:vAlign w:val="bottom"/>
          </w:tcPr>
          <w:p>
            <w:pPr>
              <w:spacing w:after="0"/>
              <w:rPr>
                <w:sz w:val="19"/>
                <w:szCs w:val="19"/>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0.91</w:t>
            </w:r>
          </w:p>
        </w:tc>
        <w:tc>
          <w:tcPr>
            <w:tcW w:w="10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0.90</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Adjustments: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Pr>
          <w:p>
            <w:pPr>
              <w:ind w:left="240"/>
              <w:spacing w:after="0"/>
              <w:rPr>
                <w:sz w:val="20"/>
                <w:szCs w:val="20"/>
                <w:color w:val="auto"/>
              </w:rPr>
            </w:pPr>
            <w:r>
              <w:rPr>
                <w:rFonts w:ascii="Arial" w:cs="Arial" w:eastAsia="Arial" w:hAnsi="Arial"/>
                <w:sz w:val="17"/>
                <w:szCs w:val="17"/>
                <w:color w:val="auto"/>
              </w:rPr>
              <w:t>Compensation from acquisition-related agreements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0.07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0.10</w:t>
            </w:r>
          </w:p>
        </w:tc>
      </w:tr>
      <w:tr>
        <w:trPr>
          <w:trHeight w:val="230"/>
        </w:trPr>
        <w:tc>
          <w:tcPr>
            <w:tcW w:w="7940" w:type="dxa"/>
            <w:vAlign w:val="bottom"/>
            <w:shd w:val="clear" w:color="auto" w:fill="F3F3F3"/>
          </w:tcPr>
          <w:p>
            <w:pPr>
              <w:ind w:left="240"/>
              <w:spacing w:after="0"/>
              <w:rPr>
                <w:sz w:val="20"/>
                <w:szCs w:val="20"/>
                <w:color w:val="auto"/>
              </w:rPr>
            </w:pPr>
            <w:r>
              <w:rPr>
                <w:rFonts w:ascii="Arial" w:cs="Arial" w:eastAsia="Arial" w:hAnsi="Arial"/>
                <w:sz w:val="17"/>
                <w:szCs w:val="17"/>
                <w:color w:val="auto"/>
              </w:rPr>
              <w:t>Amortization of intangible assets related to acquisitions</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0.02</w:t>
            </w: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jc w:val="right"/>
              <w:spacing w:after="0"/>
              <w:rPr>
                <w:sz w:val="20"/>
                <w:szCs w:val="20"/>
                <w:color w:val="auto"/>
              </w:rPr>
            </w:pPr>
            <w:r>
              <w:rPr>
                <w:rFonts w:ascii="Arial" w:cs="Arial" w:eastAsia="Arial" w:hAnsi="Arial"/>
                <w:sz w:val="17"/>
                <w:szCs w:val="17"/>
                <w:color w:val="auto"/>
              </w:rPr>
              <w:t>0.02</w:t>
            </w:r>
          </w:p>
        </w:tc>
      </w:tr>
      <w:tr>
        <w:trPr>
          <w:trHeight w:val="229"/>
        </w:trPr>
        <w:tc>
          <w:tcPr>
            <w:tcW w:w="7940" w:type="dxa"/>
            <w:vAlign w:val="bottom"/>
          </w:tcPr>
          <w:p>
            <w:pPr>
              <w:ind w:left="240"/>
              <w:spacing w:after="0"/>
              <w:rPr>
                <w:sz w:val="20"/>
                <w:szCs w:val="20"/>
                <w:color w:val="auto"/>
              </w:rPr>
            </w:pPr>
            <w:r>
              <w:rPr>
                <w:rFonts w:ascii="Arial" w:cs="Arial" w:eastAsia="Arial" w:hAnsi="Arial"/>
                <w:sz w:val="17"/>
                <w:szCs w:val="17"/>
                <w:color w:val="auto"/>
              </w:rPr>
              <w:t>Non-compensation expenses from acquisition-related agreements</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8"/>
        </w:trPr>
        <w:tc>
          <w:tcPr>
            <w:tcW w:w="7940" w:type="dxa"/>
            <w:vAlign w:val="bottom"/>
            <w:tcBorders>
              <w:top w:val="single" w:sz="8" w:color="F3F3F3"/>
              <w:bottom w:val="single" w:sz="8" w:color="F3F3F3"/>
            </w:tcBorders>
            <w:shd w:val="clear" w:color="auto" w:fill="F3F3F3"/>
          </w:tcPr>
          <w:p>
            <w:pPr>
              <w:ind w:left="140"/>
              <w:spacing w:after="0"/>
              <w:rPr>
                <w:sz w:val="20"/>
                <w:szCs w:val="20"/>
                <w:color w:val="auto"/>
              </w:rPr>
            </w:pPr>
            <w:r>
              <w:rPr>
                <w:rFonts w:ascii="Arial" w:cs="Arial" w:eastAsia="Arial" w:hAnsi="Arial"/>
                <w:sz w:val="17"/>
                <w:szCs w:val="17"/>
                <w:b w:val="1"/>
                <w:bCs w:val="1"/>
                <w:color w:val="auto"/>
              </w:rPr>
              <w:t>Adjusted earnings per diluted common share</w:t>
            </w:r>
          </w:p>
        </w:tc>
        <w:tc>
          <w:tcPr>
            <w:tcW w:w="360" w:type="dxa"/>
            <w:vAlign w:val="bottom"/>
            <w:tcBorders>
              <w:top w:val="single" w:sz="8" w:color="auto"/>
              <w:bottom w:val="single" w:sz="8" w:color="auto"/>
            </w:tcBorders>
            <w:shd w:val="clear" w:color="auto" w:fill="F3F3F3"/>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24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1.00</w:t>
            </w:r>
          </w:p>
        </w:tc>
        <w:tc>
          <w:tcPr>
            <w:tcW w:w="100" w:type="dxa"/>
            <w:vAlign w:val="bottom"/>
            <w:tcBorders>
              <w:top w:val="single" w:sz="8" w:color="F3F3F3"/>
              <w:bottom w:val="single" w:sz="8" w:color="F3F3F3"/>
            </w:tcBorders>
            <w:shd w:val="clear" w:color="auto" w:fill="F3F3F3"/>
          </w:tcPr>
          <w:p>
            <w:pPr>
              <w:spacing w:after="0"/>
              <w:rPr>
                <w:sz w:val="21"/>
                <w:szCs w:val="21"/>
                <w:color w:val="auto"/>
              </w:rPr>
            </w:pPr>
          </w:p>
        </w:tc>
        <w:tc>
          <w:tcPr>
            <w:tcW w:w="480" w:type="dxa"/>
            <w:vAlign w:val="bottom"/>
            <w:tcBorders>
              <w:top w:val="single" w:sz="8" w:color="auto"/>
              <w:bottom w:val="single" w:sz="8" w:color="auto"/>
            </w:tcBorders>
            <w:shd w:val="clear" w:color="auto" w:fill="F3F3F3"/>
          </w:tcPr>
          <w:p>
            <w:pPr>
              <w:jc w:val="right"/>
              <w:ind w:right="295"/>
              <w:spacing w:after="0"/>
              <w:rPr>
                <w:sz w:val="20"/>
                <w:szCs w:val="20"/>
                <w:color w:val="auto"/>
              </w:rPr>
            </w:pPr>
            <w:r>
              <w:rPr>
                <w:rFonts w:ascii="Arial" w:cs="Arial" w:eastAsia="Arial" w:hAnsi="Arial"/>
                <w:sz w:val="17"/>
                <w:szCs w:val="17"/>
                <w:color w:val="auto"/>
                <w:w w:val="84"/>
              </w:rPr>
              <w:t>$</w:t>
            </w:r>
          </w:p>
        </w:tc>
        <w:tc>
          <w:tcPr>
            <w:tcW w:w="1120" w:type="dxa"/>
            <w:vAlign w:val="bottom"/>
            <w:tcBorders>
              <w:top w:val="single" w:sz="8" w:color="auto"/>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1.02</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r>
        <w:trPr>
          <w:trHeight w:val="163"/>
        </w:trPr>
        <w:tc>
          <w:tcPr>
            <w:tcW w:w="7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0"/>
        </w:trPr>
        <w:tc>
          <w:tcPr>
            <w:tcW w:w="7940" w:type="dxa"/>
            <w:vAlign w:val="bottom"/>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Weighted average diluted common shares outstanding (1):</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29"/>
        </w:trPr>
        <w:tc>
          <w:tcPr>
            <w:tcW w:w="7940" w:type="dxa"/>
            <w:vAlign w:val="bottom"/>
          </w:tcPr>
          <w:p>
            <w:pPr>
              <w:ind w:left="140"/>
              <w:spacing w:after="0"/>
              <w:rPr>
                <w:sz w:val="20"/>
                <w:szCs w:val="20"/>
                <w:color w:val="auto"/>
              </w:rPr>
            </w:pPr>
            <w:r>
              <w:rPr>
                <w:rFonts w:ascii="Arial" w:cs="Arial" w:eastAsia="Arial" w:hAnsi="Arial"/>
                <w:sz w:val="17"/>
                <w:szCs w:val="17"/>
                <w:b w:val="1"/>
                <w:bCs w:val="1"/>
                <w:i w:val="1"/>
                <w:iCs w:val="1"/>
                <w:color w:val="auto"/>
              </w:rPr>
              <w:t>Weighted average diluted common shares outstanding – U.S. GAAP basis</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b w:val="1"/>
                <w:bCs w:val="1"/>
                <w:color w:val="auto"/>
              </w:rPr>
              <w:t>71,235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71,150</w:t>
            </w:r>
          </w:p>
        </w:tc>
      </w:tr>
      <w:tr>
        <w:trPr>
          <w:trHeight w:val="229"/>
        </w:trPr>
        <w:tc>
          <w:tcPr>
            <w:tcW w:w="7940" w:type="dxa"/>
            <w:vAlign w:val="bottom"/>
            <w:shd w:val="clear" w:color="auto" w:fill="F3F3F3"/>
          </w:tcPr>
          <w:p>
            <w:pPr>
              <w:ind w:left="140"/>
              <w:spacing w:after="0"/>
              <w:rPr>
                <w:sz w:val="20"/>
                <w:szCs w:val="20"/>
                <w:color w:val="auto"/>
              </w:rPr>
            </w:pPr>
            <w:r>
              <w:rPr>
                <w:rFonts w:ascii="Arial" w:cs="Arial" w:eastAsia="Arial" w:hAnsi="Arial"/>
                <w:sz w:val="17"/>
                <w:szCs w:val="17"/>
                <w:color w:val="auto"/>
              </w:rPr>
              <w:t>Adjustment:</w:t>
            </w:r>
          </w:p>
        </w:tc>
        <w:tc>
          <w:tcPr>
            <w:tcW w:w="360" w:type="dxa"/>
            <w:vAlign w:val="bottom"/>
            <w:shd w:val="clear" w:color="auto" w:fill="F3F3F3"/>
          </w:tcPr>
          <w:p>
            <w:pPr>
              <w:spacing w:after="0"/>
              <w:rPr>
                <w:sz w:val="19"/>
                <w:szCs w:val="19"/>
                <w:color w:val="auto"/>
              </w:rPr>
            </w:pPr>
          </w:p>
        </w:tc>
        <w:tc>
          <w:tcPr>
            <w:tcW w:w="12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480" w:type="dxa"/>
            <w:vAlign w:val="bottom"/>
            <w:shd w:val="clear" w:color="auto" w:fill="F3F3F3"/>
          </w:tcPr>
          <w:p>
            <w:pPr>
              <w:spacing w:after="0"/>
              <w:rPr>
                <w:sz w:val="19"/>
                <w:szCs w:val="19"/>
                <w:color w:val="auto"/>
              </w:rPr>
            </w:pPr>
          </w:p>
        </w:tc>
        <w:tc>
          <w:tcPr>
            <w:tcW w:w="1120" w:type="dxa"/>
            <w:vAlign w:val="bottom"/>
            <w:shd w:val="clear" w:color="auto" w:fill="F3F3F3"/>
          </w:tcPr>
          <w:p>
            <w:pPr>
              <w:spacing w:after="0"/>
              <w:rPr>
                <w:sz w:val="19"/>
                <w:szCs w:val="19"/>
                <w:color w:val="auto"/>
              </w:rPr>
            </w:pPr>
          </w:p>
        </w:tc>
      </w:tr>
      <w:tr>
        <w:trPr>
          <w:trHeight w:val="230"/>
        </w:trPr>
        <w:tc>
          <w:tcPr>
            <w:tcW w:w="7940" w:type="dxa"/>
            <w:vAlign w:val="bottom"/>
            <w:tcBorders>
              <w:bottom w:val="single" w:sz="8" w:color="F3F3F3"/>
            </w:tcBorders>
          </w:tcPr>
          <w:p>
            <w:pPr>
              <w:ind w:left="240"/>
              <w:spacing w:after="0"/>
              <w:rPr>
                <w:sz w:val="20"/>
                <w:szCs w:val="20"/>
                <w:color w:val="auto"/>
              </w:rPr>
            </w:pPr>
            <w:r>
              <w:rPr>
                <w:rFonts w:ascii="Arial" w:cs="Arial" w:eastAsia="Arial" w:hAnsi="Arial"/>
                <w:sz w:val="17"/>
                <w:szCs w:val="17"/>
                <w:color w:val="auto"/>
              </w:rPr>
              <w:t>Unvested acquisition-related restricted stock with service conditions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402</w:t>
            </w:r>
          </w:p>
        </w:tc>
        <w:tc>
          <w:tcPr>
            <w:tcW w:w="100" w:type="dxa"/>
            <w:vAlign w:val="bottom"/>
            <w:tcBorders>
              <w:bottom w:val="single" w:sz="8" w:color="F3F3F3"/>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w:t>
            </w:r>
          </w:p>
        </w:tc>
      </w:tr>
      <w:tr>
        <w:trPr>
          <w:trHeight w:val="248"/>
        </w:trPr>
        <w:tc>
          <w:tcPr>
            <w:tcW w:w="7940" w:type="dxa"/>
            <w:vAlign w:val="bottom"/>
            <w:tcBorders>
              <w:bottom w:val="single" w:sz="8" w:color="F3F3F3"/>
            </w:tcBorders>
            <w:shd w:val="clear" w:color="auto" w:fill="F3F3F3"/>
          </w:tcPr>
          <w:p>
            <w:pPr>
              <w:ind w:left="140"/>
              <w:spacing w:after="0"/>
              <w:rPr>
                <w:sz w:val="20"/>
                <w:szCs w:val="20"/>
                <w:color w:val="auto"/>
              </w:rPr>
            </w:pPr>
            <w:r>
              <w:rPr>
                <w:rFonts w:ascii="Arial" w:cs="Arial" w:eastAsia="Arial" w:hAnsi="Arial"/>
                <w:sz w:val="17"/>
                <w:szCs w:val="17"/>
                <w:b w:val="1"/>
                <w:bCs w:val="1"/>
                <w:i w:val="1"/>
                <w:iCs w:val="1"/>
                <w:color w:val="auto"/>
              </w:rPr>
              <w:t>Adjusted weighted average diluted common shares outstanding</w:t>
            </w:r>
          </w:p>
        </w:tc>
        <w:tc>
          <w:tcPr>
            <w:tcW w:w="360" w:type="dxa"/>
            <w:vAlign w:val="bottom"/>
            <w:tcBorders>
              <w:bottom w:val="single" w:sz="8" w:color="auto"/>
            </w:tcBorders>
            <w:shd w:val="clear" w:color="auto" w:fill="F3F3F3"/>
          </w:tcPr>
          <w:p>
            <w:pPr>
              <w:spacing w:after="0"/>
              <w:rPr>
                <w:sz w:val="21"/>
                <w:szCs w:val="21"/>
                <w:color w:val="auto"/>
              </w:rPr>
            </w:pPr>
          </w:p>
        </w:tc>
        <w:tc>
          <w:tcPr>
            <w:tcW w:w="12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71,637</w:t>
            </w:r>
          </w:p>
        </w:tc>
        <w:tc>
          <w:tcPr>
            <w:tcW w:w="100" w:type="dxa"/>
            <w:vAlign w:val="bottom"/>
            <w:tcBorders>
              <w:bottom w:val="single" w:sz="8" w:color="F3F3F3"/>
            </w:tcBorders>
            <w:shd w:val="clear" w:color="auto" w:fill="F3F3F3"/>
          </w:tcPr>
          <w:p>
            <w:pPr>
              <w:spacing w:after="0"/>
              <w:rPr>
                <w:sz w:val="21"/>
                <w:szCs w:val="21"/>
                <w:color w:val="auto"/>
              </w:rPr>
            </w:pPr>
          </w:p>
        </w:tc>
        <w:tc>
          <w:tcPr>
            <w:tcW w:w="480" w:type="dxa"/>
            <w:vAlign w:val="bottom"/>
            <w:tcBorders>
              <w:bottom w:val="single" w:sz="8" w:color="auto"/>
            </w:tcBorders>
            <w:shd w:val="clear" w:color="auto" w:fill="F3F3F3"/>
          </w:tcPr>
          <w:p>
            <w:pPr>
              <w:spacing w:after="0"/>
              <w:rPr>
                <w:sz w:val="21"/>
                <w:szCs w:val="21"/>
                <w:color w:val="auto"/>
              </w:rPr>
            </w:pPr>
          </w:p>
        </w:tc>
        <w:tc>
          <w:tcPr>
            <w:tcW w:w="112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71,849</w:t>
            </w:r>
          </w:p>
        </w:tc>
      </w:tr>
      <w:tr>
        <w:trPr>
          <w:trHeight w:val="20"/>
        </w:trPr>
        <w:tc>
          <w:tcPr>
            <w:tcW w:w="7940" w:type="dxa"/>
            <w:vAlign w:val="bottom"/>
            <w:tcBorders>
              <w:top w:val="single" w:sz="8" w:color="F3F3F3"/>
            </w:tcBorders>
          </w:tcPr>
          <w:p>
            <w:pPr>
              <w:spacing w:after="0" w:line="20" w:lineRule="exact"/>
              <w:rPr>
                <w:sz w:val="1"/>
                <w:szCs w:val="1"/>
                <w:color w:val="auto"/>
              </w:rPr>
            </w:pPr>
          </w:p>
        </w:tc>
        <w:tc>
          <w:tcPr>
            <w:tcW w:w="360" w:type="dxa"/>
            <w:vAlign w:val="bottom"/>
            <w:tcBorders>
              <w:top w:val="single" w:sz="8" w:color="F3F3F3"/>
              <w:bottom w:val="single" w:sz="8" w:color="auto"/>
            </w:tcBorders>
          </w:tcPr>
          <w:p>
            <w:pPr>
              <w:spacing w:after="0" w:line="20" w:lineRule="exact"/>
              <w:rPr>
                <w:sz w:val="1"/>
                <w:szCs w:val="1"/>
                <w:color w:val="auto"/>
              </w:rPr>
            </w:pPr>
          </w:p>
        </w:tc>
        <w:tc>
          <w:tcPr>
            <w:tcW w:w="12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480" w:type="dxa"/>
            <w:vAlign w:val="bottom"/>
            <w:tcBorders>
              <w:top w:val="single" w:sz="8" w:color="F3F3F3"/>
              <w:bottom w:val="single" w:sz="8" w:color="auto"/>
            </w:tcBorders>
          </w:tcPr>
          <w:p>
            <w:pPr>
              <w:spacing w:after="0" w:line="20" w:lineRule="exact"/>
              <w:rPr>
                <w:sz w:val="1"/>
                <w:szCs w:val="1"/>
                <w:color w:val="auto"/>
              </w:rPr>
            </w:pPr>
          </w:p>
        </w:tc>
        <w:tc>
          <w:tcPr>
            <w:tcW w:w="1120" w:type="dxa"/>
            <w:vAlign w:val="bottom"/>
            <w:tcBorders>
              <w:top w:val="single" w:sz="8" w:color="F3F3F3"/>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ind w:left="340" w:right="20" w:hanging="332"/>
        <w:spacing w:after="0" w:line="301" w:lineRule="auto"/>
        <w:tabs>
          <w:tab w:leader="none" w:pos="338" w:val="left"/>
        </w:tabs>
        <w:numPr>
          <w:ilvl w:val="0"/>
          <w:numId w:val="13"/>
        </w:numPr>
        <w:rPr>
          <w:rFonts w:ascii="Arial" w:cs="Arial" w:eastAsia="Arial" w:hAnsi="Arial"/>
          <w:sz w:val="15"/>
          <w:szCs w:val="15"/>
          <w:i w:val="1"/>
          <w:iCs w:val="1"/>
          <w:color w:val="auto"/>
        </w:rPr>
      </w:pPr>
      <w:r>
        <w:rPr>
          <w:rFonts w:ascii="Arial" w:cs="Arial" w:eastAsia="Arial" w:hAnsi="Arial"/>
          <w:sz w:val="15"/>
          <w:szCs w:val="15"/>
          <w:i w:val="1"/>
          <w:iCs w:val="1"/>
          <w:color w:val="auto"/>
        </w:rPr>
        <w:t>Common shares and per common share information have been adjusted to reflect the four-for-one forward split of common stock. See Note 1 to our unaudited consolidated financial statements included in Part I, Item 1 of this Quarterly Report on Form 10-Q.</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Recent accounting pronouncements are set forth in Note 3 to our unaudited consolidated financial statements included in Part I, Item 1 of this Quarterly Report on Form 10-Q, and are incorporated herein by reference.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accounting and reporting policies comply with U.S. GAAP and conform to practices within the securities industry. The preparation of financial statements in compliance with U.S. GAAP and industry practices requires us to make estimates and assumptions that could materially affect amounts reported in our consolidated financial statements. Critical accounting policies are those policies that we believe to be the most important to the portrayal of our financial condition and results of operations and that require us to make estimates that are difficult, subjective or complex. Most accounting policies are not considered by us to be critical accounting policies. Several factors are considered in determining whether or not a policy is critical, including whether the estimates are significant to the consolidated financial statements taken as a whole, the nature of the estimates, the ability to readily validate the estimates with other information (e.g., third-party or independent sources), the sensitivity of the estimates to changes in economic conditions and whether alternative accounting methods may be used under U.S. GAAP.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of our significant accounting policies, the following are our critical accounting policies and estimates:</w:t>
      </w:r>
    </w:p>
    <w:p>
      <w:pPr>
        <w:spacing w:after="0" w:line="250"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Valuation of Financial Instruments</w:t>
      </w:r>
    </w:p>
    <w:p>
      <w:pPr>
        <w:spacing w:after="0" w:line="23" w:lineRule="exact"/>
        <w:rPr>
          <w:rFonts w:ascii="Arial" w:cs="Arial" w:eastAsia="Arial" w:hAnsi="Arial"/>
          <w:sz w:val="17"/>
          <w:szCs w:val="17"/>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Stock-Based Compensation Plans</w:t>
      </w:r>
    </w:p>
    <w:p>
      <w:pPr>
        <w:spacing w:after="0" w:line="13" w:lineRule="exact"/>
        <w:rPr>
          <w:rFonts w:ascii="Arial" w:cs="Arial" w:eastAsia="Arial" w:hAnsi="Arial"/>
          <w:sz w:val="17"/>
          <w:szCs w:val="17"/>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24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See the "Critical Accounting Policies and Estimates" section and Note 2 to our consolidated financial statements included in our Annual Report on Form 10-K for the year ended December 31, 2025 for further information on our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FUNDING AND CAPITAL RESOURCES</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regularly monitor our liquidity position, which is of critical importance to our business. Accordingly, we maintain a liquidity strategy designed to enable our business to continue to operate even under adverse circumstances, although there can be no assurance that our strategy will be successful under all circumstances. Insufficient liquidity resulting from adverse circumstances contributes to, and may be the cause of, financial institution failure.</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majority of our tangible assets consist of assets readily convertible into cash. Financial instruments and other inventory positions owned are stated at fair value and are generally readily marketable in most market conditions. Receivables and payables with brokers, dealers and clearing organizations usually settle within a few days. As part of our liquidity strategy, we emphasize diversification of funding sources to the extent possible while considering tenor and cost. Our assets are financed by our cash flows from operations, equity capital and our funding arrangements. The fluctuations in cash flows from financing activities are directly related to daily operating activities from our various businesses. One of our most important risk management disciplines is our ability to manage the size and composition of our balance sheet. While our asset base changes due to client activity, market fluctuations and business opportunities, the size and composition of our balance sheet reflect our overall risk tolerance, our ability to access stable funding sources and the amount of equity capital we hold.</w:t>
      </w:r>
    </w:p>
    <w:p>
      <w:pPr>
        <w:spacing w:after="0" w:line="222"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Certain market conditions can impact the liquidity of our inventory positions, requiring us to hold larger inventory positions for longer than expected or requiring us to take other actions that may adversely impact our results.</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 significant component of our employees' compensation is paid in annual discretionary incentive compensation. The timing of these incentive compensation payments, which is generally in February, has a significant impact on our cash position and liquidity.</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dividend policy is intended to return between 30 percent and 50 percent of our fiscal year adjusted net income to shareholders. Our board of directors determines the declaration and payment of dividends and is free to change our dividend policy at any time. Our board of directors declared the following dividends on shares of our common stock:</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Dividend</w:t>
            </w:r>
          </w:p>
        </w:tc>
        <w:tc>
          <w:tcPr>
            <w:tcW w:w="3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20" w:type="dxa"/>
            <w:vAlign w:val="bottom"/>
          </w:tcPr>
          <w:p>
            <w:pPr>
              <w:spacing w:after="0"/>
              <w:rPr>
                <w:sz w:val="19"/>
                <w:szCs w:val="19"/>
                <w:color w:val="auto"/>
              </w:rPr>
            </w:pPr>
          </w:p>
        </w:tc>
      </w:tr>
      <w:tr>
        <w:trPr>
          <w:trHeight w:val="236"/>
        </w:trPr>
        <w:tc>
          <w:tcPr>
            <w:tcW w:w="3200" w:type="dxa"/>
            <w:vAlign w:val="bottom"/>
            <w:gridSpan w:val="2"/>
          </w:tcPr>
          <w:p>
            <w:pPr>
              <w:ind w:left="20"/>
              <w:spacing w:after="0"/>
              <w:rPr>
                <w:sz w:val="20"/>
                <w:szCs w:val="20"/>
                <w:color w:val="auto"/>
              </w:rPr>
            </w:pPr>
            <w:r>
              <w:rPr>
                <w:rFonts w:ascii="Arial" w:cs="Arial" w:eastAsia="Arial" w:hAnsi="Arial"/>
                <w:sz w:val="17"/>
                <w:szCs w:val="17"/>
                <w:b w:val="1"/>
                <w:bCs w:val="1"/>
                <w:color w:val="auto"/>
              </w:rPr>
              <w:t>Declaration Date</w:t>
            </w:r>
          </w:p>
        </w:tc>
        <w:tc>
          <w:tcPr>
            <w:tcW w:w="16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rPr>
              <w:t>Per Share (1)</w:t>
            </w:r>
          </w:p>
        </w:tc>
        <w:tc>
          <w:tcPr>
            <w:tcW w:w="320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9"/>
              </w:rPr>
              <w:t>Record Date</w:t>
            </w:r>
          </w:p>
        </w:tc>
        <w:tc>
          <w:tcPr>
            <w:tcW w:w="3120" w:type="dxa"/>
            <w:vAlign w:val="bottom"/>
          </w:tcPr>
          <w:p>
            <w:pPr>
              <w:jc w:val="center"/>
              <w:spacing w:after="0"/>
              <w:rPr>
                <w:sz w:val="20"/>
                <w:szCs w:val="20"/>
                <w:color w:val="auto"/>
              </w:rPr>
            </w:pPr>
            <w:r>
              <w:rPr>
                <w:rFonts w:ascii="Arial" w:cs="Arial" w:eastAsia="Arial" w:hAnsi="Arial"/>
                <w:sz w:val="17"/>
                <w:szCs w:val="17"/>
                <w:b w:val="1"/>
                <w:bCs w:val="1"/>
                <w:color w:val="auto"/>
              </w:rPr>
              <w:t>Payment Date</w:t>
            </w:r>
          </w:p>
        </w:tc>
      </w:tr>
      <w:tr>
        <w:trPr>
          <w:trHeight w:val="225"/>
        </w:trPr>
        <w:tc>
          <w:tcPr>
            <w:tcW w:w="3100" w:type="dxa"/>
            <w:vAlign w:val="bottom"/>
            <w:tcBorders>
              <w:top w:val="single" w:sz="8" w:color="auto"/>
            </w:tcBorders>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Related to 2024:</w:t>
            </w:r>
          </w:p>
        </w:tc>
        <w:tc>
          <w:tcPr>
            <w:tcW w:w="100" w:type="dxa"/>
            <w:vAlign w:val="bottom"/>
            <w:tcBorders>
              <w:top w:val="single" w:sz="8" w:color="F3F3F3"/>
            </w:tcBorders>
            <w:shd w:val="clear" w:color="auto" w:fill="F3F3F3"/>
          </w:tcPr>
          <w:p>
            <w:pPr>
              <w:spacing w:after="0"/>
              <w:rPr>
                <w:sz w:val="19"/>
                <w:szCs w:val="19"/>
                <w:color w:val="auto"/>
              </w:rPr>
            </w:pPr>
          </w:p>
        </w:tc>
        <w:tc>
          <w:tcPr>
            <w:tcW w:w="1580" w:type="dxa"/>
            <w:vAlign w:val="bottom"/>
            <w:tcBorders>
              <w:top w:val="single" w:sz="8" w:color="auto"/>
            </w:tcBorders>
            <w:shd w:val="clear" w:color="auto" w:fill="F3F3F3"/>
          </w:tcPr>
          <w:p>
            <w:pPr>
              <w:spacing w:after="0"/>
              <w:rPr>
                <w:sz w:val="19"/>
                <w:szCs w:val="19"/>
                <w:color w:val="auto"/>
              </w:rPr>
            </w:pPr>
          </w:p>
        </w:tc>
        <w:tc>
          <w:tcPr>
            <w:tcW w:w="100" w:type="dxa"/>
            <w:vAlign w:val="bottom"/>
            <w:tcBorders>
              <w:top w:val="single" w:sz="8" w:color="F3F3F3"/>
            </w:tcBorders>
            <w:shd w:val="clear" w:color="auto" w:fill="F3F3F3"/>
          </w:tcPr>
          <w:p>
            <w:pPr>
              <w:spacing w:after="0"/>
              <w:rPr>
                <w:sz w:val="19"/>
                <w:szCs w:val="19"/>
                <w:color w:val="auto"/>
              </w:rPr>
            </w:pPr>
          </w:p>
        </w:tc>
        <w:tc>
          <w:tcPr>
            <w:tcW w:w="3120" w:type="dxa"/>
            <w:vAlign w:val="bottom"/>
            <w:tcBorders>
              <w:top w:val="single" w:sz="8" w:color="auto"/>
            </w:tcBorders>
            <w:shd w:val="clear" w:color="auto" w:fill="F3F3F3"/>
          </w:tcPr>
          <w:p>
            <w:pPr>
              <w:spacing w:after="0"/>
              <w:rPr>
                <w:sz w:val="19"/>
                <w:szCs w:val="19"/>
                <w:color w:val="auto"/>
              </w:rPr>
            </w:pPr>
          </w:p>
        </w:tc>
        <w:tc>
          <w:tcPr>
            <w:tcW w:w="80" w:type="dxa"/>
            <w:vAlign w:val="bottom"/>
            <w:tcBorders>
              <w:top w:val="single" w:sz="8" w:color="F3F3F3"/>
            </w:tcBorders>
            <w:shd w:val="clear" w:color="auto" w:fill="F3F3F3"/>
          </w:tcPr>
          <w:p>
            <w:pPr>
              <w:spacing w:after="0"/>
              <w:rPr>
                <w:sz w:val="19"/>
                <w:szCs w:val="19"/>
                <w:color w:val="auto"/>
              </w:rPr>
            </w:pPr>
          </w:p>
        </w:tc>
        <w:tc>
          <w:tcPr>
            <w:tcW w:w="3120" w:type="dxa"/>
            <w:vAlign w:val="bottom"/>
            <w:tcBorders>
              <w:top w:val="single" w:sz="8" w:color="auto"/>
            </w:tcBorders>
            <w:shd w:val="clear" w:color="auto" w:fill="F3F3F3"/>
          </w:tcPr>
          <w:p>
            <w:pPr>
              <w:spacing w:after="0"/>
              <w:rPr>
                <w:sz w:val="19"/>
                <w:szCs w:val="19"/>
                <w:color w:val="auto"/>
              </w:rPr>
            </w:pPr>
          </w:p>
        </w:tc>
      </w:tr>
      <w:tr>
        <w:trPr>
          <w:trHeight w:val="227"/>
        </w:trPr>
        <w:tc>
          <w:tcPr>
            <w:tcW w:w="3200" w:type="dxa"/>
            <w:vAlign w:val="bottom"/>
            <w:gridSpan w:val="2"/>
          </w:tcPr>
          <w:p>
            <w:pPr>
              <w:ind w:left="120"/>
              <w:spacing w:after="0"/>
              <w:rPr>
                <w:sz w:val="20"/>
                <w:szCs w:val="20"/>
                <w:color w:val="auto"/>
              </w:rPr>
            </w:pPr>
            <w:r>
              <w:rPr>
                <w:rFonts w:ascii="Arial" w:cs="Arial" w:eastAsia="Arial" w:hAnsi="Arial"/>
                <w:sz w:val="17"/>
                <w:szCs w:val="17"/>
                <w:color w:val="auto"/>
              </w:rPr>
              <w:t>January 31, 2025 (2)</w:t>
            </w:r>
          </w:p>
        </w:tc>
        <w:tc>
          <w:tcPr>
            <w:tcW w:w="1580" w:type="dxa"/>
            <w:vAlign w:val="bottom"/>
          </w:tcPr>
          <w:p>
            <w:pPr>
              <w:jc w:val="right"/>
              <w:spacing w:after="0"/>
              <w:rPr>
                <w:sz w:val="20"/>
                <w:szCs w:val="20"/>
                <w:color w:val="auto"/>
              </w:rPr>
            </w:pPr>
            <w:r>
              <w:rPr>
                <w:rFonts w:ascii="Arial" w:cs="Arial" w:eastAsia="Arial" w:hAnsi="Arial"/>
                <w:sz w:val="17"/>
                <w:szCs w:val="17"/>
                <w:color w:val="auto"/>
              </w:rPr>
              <w:t>0.7500</w:t>
            </w:r>
          </w:p>
        </w:tc>
        <w:tc>
          <w:tcPr>
            <w:tcW w:w="10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Arial" w:cs="Arial" w:eastAsia="Arial" w:hAnsi="Arial"/>
                <w:sz w:val="17"/>
                <w:szCs w:val="17"/>
                <w:color w:val="auto"/>
              </w:rPr>
              <w:t>March 4, 2025</w:t>
            </w:r>
          </w:p>
        </w:tc>
        <w:tc>
          <w:tcPr>
            <w:tcW w:w="3120" w:type="dxa"/>
            <w:vAlign w:val="bottom"/>
          </w:tcPr>
          <w:p>
            <w:pPr>
              <w:jc w:val="center"/>
              <w:spacing w:after="0"/>
              <w:rPr>
                <w:sz w:val="20"/>
                <w:szCs w:val="20"/>
                <w:color w:val="auto"/>
              </w:rPr>
            </w:pPr>
            <w:r>
              <w:rPr>
                <w:rFonts w:ascii="Arial" w:cs="Arial" w:eastAsia="Arial" w:hAnsi="Arial"/>
                <w:sz w:val="17"/>
                <w:szCs w:val="17"/>
                <w:color w:val="auto"/>
                <w:w w:val="99"/>
              </w:rPr>
              <w:t>March 14, 2025</w:t>
            </w:r>
          </w:p>
        </w:tc>
      </w:tr>
      <w:tr>
        <w:trPr>
          <w:trHeight w:val="232"/>
        </w:trPr>
        <w:tc>
          <w:tcPr>
            <w:tcW w:w="3200" w:type="dxa"/>
            <w:vAlign w:val="bottom"/>
            <w:gridSpan w:val="2"/>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Related to 2025:</w:t>
            </w:r>
          </w:p>
        </w:tc>
        <w:tc>
          <w:tcPr>
            <w:tcW w:w="1580" w:type="dxa"/>
            <w:vAlign w:val="bottom"/>
            <w:shd w:val="clear" w:color="auto" w:fill="F3F3F3"/>
          </w:tcPr>
          <w:p>
            <w:pPr>
              <w:spacing w:after="0"/>
              <w:rPr>
                <w:sz w:val="20"/>
                <w:szCs w:val="20"/>
                <w:color w:val="auto"/>
              </w:rPr>
            </w:pPr>
          </w:p>
        </w:tc>
        <w:tc>
          <w:tcPr>
            <w:tcW w:w="100" w:type="dxa"/>
            <w:vAlign w:val="bottom"/>
            <w:shd w:val="clear" w:color="auto" w:fill="F3F3F3"/>
          </w:tcPr>
          <w:p>
            <w:pPr>
              <w:spacing w:after="0"/>
              <w:rPr>
                <w:sz w:val="20"/>
                <w:szCs w:val="20"/>
                <w:color w:val="auto"/>
              </w:rPr>
            </w:pPr>
          </w:p>
        </w:tc>
        <w:tc>
          <w:tcPr>
            <w:tcW w:w="3120" w:type="dxa"/>
            <w:vAlign w:val="bottom"/>
            <w:shd w:val="clear" w:color="auto" w:fill="F3F3F3"/>
          </w:tcPr>
          <w:p>
            <w:pPr>
              <w:spacing w:after="0"/>
              <w:rPr>
                <w:sz w:val="20"/>
                <w:szCs w:val="20"/>
                <w:color w:val="auto"/>
              </w:rPr>
            </w:pPr>
          </w:p>
        </w:tc>
        <w:tc>
          <w:tcPr>
            <w:tcW w:w="80" w:type="dxa"/>
            <w:vAlign w:val="bottom"/>
            <w:shd w:val="clear" w:color="auto" w:fill="F3F3F3"/>
          </w:tcPr>
          <w:p>
            <w:pPr>
              <w:spacing w:after="0"/>
              <w:rPr>
                <w:sz w:val="20"/>
                <w:szCs w:val="20"/>
                <w:color w:val="auto"/>
              </w:rPr>
            </w:pPr>
          </w:p>
        </w:tc>
        <w:tc>
          <w:tcPr>
            <w:tcW w:w="3120" w:type="dxa"/>
            <w:vAlign w:val="bottom"/>
            <w:shd w:val="clear" w:color="auto" w:fill="F3F3F3"/>
          </w:tcPr>
          <w:p>
            <w:pPr>
              <w:spacing w:after="0"/>
              <w:rPr>
                <w:sz w:val="20"/>
                <w:szCs w:val="20"/>
                <w:color w:val="auto"/>
              </w:rPr>
            </w:pPr>
          </w:p>
        </w:tc>
      </w:tr>
      <w:tr>
        <w:trPr>
          <w:trHeight w:val="227"/>
        </w:trPr>
        <w:tc>
          <w:tcPr>
            <w:tcW w:w="3200" w:type="dxa"/>
            <w:vAlign w:val="bottom"/>
            <w:gridSpan w:val="2"/>
          </w:tcPr>
          <w:p>
            <w:pPr>
              <w:ind w:left="120"/>
              <w:spacing w:after="0"/>
              <w:rPr>
                <w:sz w:val="20"/>
                <w:szCs w:val="20"/>
                <w:color w:val="auto"/>
              </w:rPr>
            </w:pPr>
            <w:r>
              <w:rPr>
                <w:rFonts w:ascii="Arial" w:cs="Arial" w:eastAsia="Arial" w:hAnsi="Arial"/>
                <w:sz w:val="17"/>
                <w:szCs w:val="17"/>
                <w:color w:val="auto"/>
              </w:rPr>
              <w:t>January 31, 2025</w:t>
            </w:r>
          </w:p>
        </w:tc>
        <w:tc>
          <w:tcPr>
            <w:tcW w:w="1580" w:type="dxa"/>
            <w:vAlign w:val="bottom"/>
          </w:tcPr>
          <w:p>
            <w:pPr>
              <w:jc w:val="right"/>
              <w:spacing w:after="0"/>
              <w:rPr>
                <w:sz w:val="20"/>
                <w:szCs w:val="20"/>
                <w:color w:val="auto"/>
              </w:rPr>
            </w:pPr>
            <w:r>
              <w:rPr>
                <w:rFonts w:ascii="Arial" w:cs="Arial" w:eastAsia="Arial" w:hAnsi="Arial"/>
                <w:sz w:val="17"/>
                <w:szCs w:val="17"/>
                <w:color w:val="auto"/>
              </w:rPr>
              <w:t>0.1625</w:t>
            </w:r>
          </w:p>
        </w:tc>
        <w:tc>
          <w:tcPr>
            <w:tcW w:w="10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Arial" w:cs="Arial" w:eastAsia="Arial" w:hAnsi="Arial"/>
                <w:sz w:val="17"/>
                <w:szCs w:val="17"/>
                <w:color w:val="auto"/>
              </w:rPr>
              <w:t>March 4, 2025</w:t>
            </w:r>
          </w:p>
        </w:tc>
        <w:tc>
          <w:tcPr>
            <w:tcW w:w="3120" w:type="dxa"/>
            <w:vAlign w:val="bottom"/>
          </w:tcPr>
          <w:p>
            <w:pPr>
              <w:jc w:val="center"/>
              <w:spacing w:after="0"/>
              <w:rPr>
                <w:sz w:val="20"/>
                <w:szCs w:val="20"/>
                <w:color w:val="auto"/>
              </w:rPr>
            </w:pPr>
            <w:r>
              <w:rPr>
                <w:rFonts w:ascii="Arial" w:cs="Arial" w:eastAsia="Arial" w:hAnsi="Arial"/>
                <w:sz w:val="17"/>
                <w:szCs w:val="17"/>
                <w:color w:val="auto"/>
                <w:w w:val="99"/>
              </w:rPr>
              <w:t>March 14, 2025</w:t>
            </w:r>
          </w:p>
        </w:tc>
      </w:tr>
      <w:tr>
        <w:trPr>
          <w:trHeight w:val="232"/>
        </w:trPr>
        <w:tc>
          <w:tcPr>
            <w:tcW w:w="3200" w:type="dxa"/>
            <w:vAlign w:val="bottom"/>
            <w:gridSpan w:val="2"/>
            <w:shd w:val="clear" w:color="auto" w:fill="F3F3F3"/>
          </w:tcPr>
          <w:p>
            <w:pPr>
              <w:ind w:left="120"/>
              <w:spacing w:after="0"/>
              <w:rPr>
                <w:sz w:val="20"/>
                <w:szCs w:val="20"/>
                <w:color w:val="auto"/>
              </w:rPr>
            </w:pPr>
            <w:r>
              <w:rPr>
                <w:rFonts w:ascii="Arial" w:cs="Arial" w:eastAsia="Arial" w:hAnsi="Arial"/>
                <w:sz w:val="17"/>
                <w:szCs w:val="17"/>
                <w:color w:val="auto"/>
              </w:rPr>
              <w:t>May 2, 2025</w:t>
            </w:r>
          </w:p>
        </w:tc>
        <w:tc>
          <w:tcPr>
            <w:tcW w:w="15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0.1625</w:t>
            </w:r>
          </w:p>
        </w:tc>
        <w:tc>
          <w:tcPr>
            <w:tcW w:w="100" w:type="dxa"/>
            <w:vAlign w:val="bottom"/>
            <w:shd w:val="clear" w:color="auto" w:fill="F3F3F3"/>
          </w:tcPr>
          <w:p>
            <w:pPr>
              <w:spacing w:after="0"/>
              <w:rPr>
                <w:sz w:val="20"/>
                <w:szCs w:val="20"/>
                <w:color w:val="auto"/>
              </w:rPr>
            </w:pPr>
          </w:p>
        </w:tc>
        <w:tc>
          <w:tcPr>
            <w:tcW w:w="3200" w:type="dxa"/>
            <w:vAlign w:val="bottom"/>
            <w:gridSpan w:val="2"/>
            <w:shd w:val="clear" w:color="auto" w:fill="F3F3F3"/>
          </w:tcPr>
          <w:p>
            <w:pPr>
              <w:jc w:val="center"/>
              <w:ind w:right="80"/>
              <w:spacing w:after="0"/>
              <w:rPr>
                <w:sz w:val="20"/>
                <w:szCs w:val="20"/>
                <w:color w:val="auto"/>
              </w:rPr>
            </w:pPr>
            <w:r>
              <w:rPr>
                <w:rFonts w:ascii="Arial" w:cs="Arial" w:eastAsia="Arial" w:hAnsi="Arial"/>
                <w:sz w:val="17"/>
                <w:szCs w:val="17"/>
                <w:color w:val="auto"/>
              </w:rPr>
              <w:t>May 30, 2025</w:t>
            </w:r>
          </w:p>
        </w:tc>
        <w:tc>
          <w:tcPr>
            <w:tcW w:w="312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June 13, 2025</w:t>
            </w:r>
          </w:p>
        </w:tc>
      </w:tr>
      <w:tr>
        <w:trPr>
          <w:trHeight w:val="227"/>
        </w:trPr>
        <w:tc>
          <w:tcPr>
            <w:tcW w:w="3200" w:type="dxa"/>
            <w:vAlign w:val="bottom"/>
            <w:gridSpan w:val="2"/>
          </w:tcPr>
          <w:p>
            <w:pPr>
              <w:ind w:left="120"/>
              <w:spacing w:after="0"/>
              <w:rPr>
                <w:sz w:val="20"/>
                <w:szCs w:val="20"/>
                <w:color w:val="auto"/>
              </w:rPr>
            </w:pPr>
            <w:r>
              <w:rPr>
                <w:rFonts w:ascii="Arial" w:cs="Arial" w:eastAsia="Arial" w:hAnsi="Arial"/>
                <w:sz w:val="17"/>
                <w:szCs w:val="17"/>
                <w:color w:val="auto"/>
              </w:rPr>
              <w:t>August 1, 2025</w:t>
            </w:r>
          </w:p>
        </w:tc>
        <w:tc>
          <w:tcPr>
            <w:tcW w:w="1580" w:type="dxa"/>
            <w:vAlign w:val="bottom"/>
          </w:tcPr>
          <w:p>
            <w:pPr>
              <w:jc w:val="right"/>
              <w:spacing w:after="0"/>
              <w:rPr>
                <w:sz w:val="20"/>
                <w:szCs w:val="20"/>
                <w:color w:val="auto"/>
              </w:rPr>
            </w:pPr>
            <w:r>
              <w:rPr>
                <w:rFonts w:ascii="Arial" w:cs="Arial" w:eastAsia="Arial" w:hAnsi="Arial"/>
                <w:sz w:val="17"/>
                <w:szCs w:val="17"/>
                <w:color w:val="auto"/>
              </w:rPr>
              <w:t>0.1750</w:t>
            </w:r>
          </w:p>
        </w:tc>
        <w:tc>
          <w:tcPr>
            <w:tcW w:w="100" w:type="dxa"/>
            <w:vAlign w:val="bottom"/>
          </w:tcPr>
          <w:p>
            <w:pPr>
              <w:spacing w:after="0"/>
              <w:rPr>
                <w:sz w:val="19"/>
                <w:szCs w:val="19"/>
                <w:color w:val="auto"/>
              </w:rPr>
            </w:pPr>
          </w:p>
        </w:tc>
        <w:tc>
          <w:tcPr>
            <w:tcW w:w="3200" w:type="dxa"/>
            <w:vAlign w:val="bottom"/>
            <w:gridSpan w:val="2"/>
          </w:tcPr>
          <w:p>
            <w:pPr>
              <w:jc w:val="center"/>
              <w:ind w:right="80"/>
              <w:spacing w:after="0"/>
              <w:rPr>
                <w:sz w:val="20"/>
                <w:szCs w:val="20"/>
                <w:color w:val="auto"/>
              </w:rPr>
            </w:pPr>
            <w:r>
              <w:rPr>
                <w:rFonts w:ascii="Arial" w:cs="Arial" w:eastAsia="Arial" w:hAnsi="Arial"/>
                <w:sz w:val="17"/>
                <w:szCs w:val="17"/>
                <w:color w:val="auto"/>
              </w:rPr>
              <w:t>August 29, 2025</w:t>
            </w:r>
          </w:p>
        </w:tc>
        <w:tc>
          <w:tcPr>
            <w:tcW w:w="3120" w:type="dxa"/>
            <w:vAlign w:val="bottom"/>
          </w:tcPr>
          <w:p>
            <w:pPr>
              <w:jc w:val="center"/>
              <w:spacing w:after="0"/>
              <w:rPr>
                <w:sz w:val="20"/>
                <w:szCs w:val="20"/>
                <w:color w:val="auto"/>
              </w:rPr>
            </w:pPr>
            <w:r>
              <w:rPr>
                <w:rFonts w:ascii="Arial" w:cs="Arial" w:eastAsia="Arial" w:hAnsi="Arial"/>
                <w:sz w:val="17"/>
                <w:szCs w:val="17"/>
                <w:color w:val="auto"/>
                <w:w w:val="99"/>
              </w:rPr>
              <w:t>September 12, 2025</w:t>
            </w:r>
          </w:p>
        </w:tc>
      </w:tr>
      <w:tr>
        <w:trPr>
          <w:trHeight w:val="232"/>
        </w:trPr>
        <w:tc>
          <w:tcPr>
            <w:tcW w:w="3200" w:type="dxa"/>
            <w:vAlign w:val="bottom"/>
            <w:gridSpan w:val="2"/>
            <w:shd w:val="clear" w:color="auto" w:fill="F3F3F3"/>
          </w:tcPr>
          <w:p>
            <w:pPr>
              <w:ind w:left="120"/>
              <w:spacing w:after="0"/>
              <w:rPr>
                <w:sz w:val="20"/>
                <w:szCs w:val="20"/>
                <w:color w:val="auto"/>
              </w:rPr>
            </w:pPr>
            <w:r>
              <w:rPr>
                <w:rFonts w:ascii="Arial" w:cs="Arial" w:eastAsia="Arial" w:hAnsi="Arial"/>
                <w:sz w:val="17"/>
                <w:szCs w:val="17"/>
                <w:color w:val="auto"/>
              </w:rPr>
              <w:t>October 31, 2025</w:t>
            </w:r>
          </w:p>
        </w:tc>
        <w:tc>
          <w:tcPr>
            <w:tcW w:w="15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0.1750</w:t>
            </w:r>
          </w:p>
        </w:tc>
        <w:tc>
          <w:tcPr>
            <w:tcW w:w="100" w:type="dxa"/>
            <w:vAlign w:val="bottom"/>
            <w:shd w:val="clear" w:color="auto" w:fill="F3F3F3"/>
          </w:tcPr>
          <w:p>
            <w:pPr>
              <w:spacing w:after="0"/>
              <w:rPr>
                <w:sz w:val="20"/>
                <w:szCs w:val="20"/>
                <w:color w:val="auto"/>
              </w:rPr>
            </w:pPr>
          </w:p>
        </w:tc>
        <w:tc>
          <w:tcPr>
            <w:tcW w:w="3200" w:type="dxa"/>
            <w:vAlign w:val="bottom"/>
            <w:gridSpan w:val="2"/>
            <w:shd w:val="clear" w:color="auto" w:fill="F3F3F3"/>
          </w:tcPr>
          <w:p>
            <w:pPr>
              <w:jc w:val="center"/>
              <w:ind w:right="100"/>
              <w:spacing w:after="0"/>
              <w:rPr>
                <w:sz w:val="20"/>
                <w:szCs w:val="20"/>
                <w:color w:val="auto"/>
              </w:rPr>
            </w:pPr>
            <w:r>
              <w:rPr>
                <w:rFonts w:ascii="Arial" w:cs="Arial" w:eastAsia="Arial" w:hAnsi="Arial"/>
                <w:sz w:val="17"/>
                <w:szCs w:val="17"/>
                <w:color w:val="auto"/>
              </w:rPr>
              <w:t>November 25, 2025</w:t>
            </w:r>
          </w:p>
        </w:tc>
        <w:tc>
          <w:tcPr>
            <w:tcW w:w="312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December 12, 2025</w:t>
            </w:r>
          </w:p>
        </w:tc>
      </w:tr>
      <w:tr>
        <w:trPr>
          <w:trHeight w:val="227"/>
        </w:trPr>
        <w:tc>
          <w:tcPr>
            <w:tcW w:w="3200" w:type="dxa"/>
            <w:vAlign w:val="bottom"/>
            <w:gridSpan w:val="2"/>
          </w:tcPr>
          <w:p>
            <w:pPr>
              <w:ind w:left="120"/>
              <w:spacing w:after="0"/>
              <w:rPr>
                <w:sz w:val="20"/>
                <w:szCs w:val="20"/>
                <w:color w:val="auto"/>
              </w:rPr>
            </w:pPr>
            <w:r>
              <w:rPr>
                <w:rFonts w:ascii="Arial" w:cs="Arial" w:eastAsia="Arial" w:hAnsi="Arial"/>
                <w:sz w:val="17"/>
                <w:szCs w:val="17"/>
                <w:color w:val="auto"/>
              </w:rPr>
              <w:t>February 6, 2026 (2)</w:t>
            </w:r>
          </w:p>
        </w:tc>
        <w:tc>
          <w:tcPr>
            <w:tcW w:w="1580" w:type="dxa"/>
            <w:vAlign w:val="bottom"/>
          </w:tcPr>
          <w:p>
            <w:pPr>
              <w:jc w:val="right"/>
              <w:spacing w:after="0"/>
              <w:rPr>
                <w:sz w:val="20"/>
                <w:szCs w:val="20"/>
                <w:color w:val="auto"/>
              </w:rPr>
            </w:pPr>
            <w:r>
              <w:rPr>
                <w:rFonts w:ascii="Arial" w:cs="Arial" w:eastAsia="Arial" w:hAnsi="Arial"/>
                <w:sz w:val="17"/>
                <w:szCs w:val="17"/>
                <w:color w:val="auto"/>
              </w:rPr>
              <w:t>1.2500</w:t>
            </w:r>
          </w:p>
        </w:tc>
        <w:tc>
          <w:tcPr>
            <w:tcW w:w="10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Arial" w:cs="Arial" w:eastAsia="Arial" w:hAnsi="Arial"/>
                <w:sz w:val="17"/>
                <w:szCs w:val="17"/>
                <w:color w:val="auto"/>
              </w:rPr>
              <w:t>March 3, 2026</w:t>
            </w:r>
          </w:p>
        </w:tc>
        <w:tc>
          <w:tcPr>
            <w:tcW w:w="3120" w:type="dxa"/>
            <w:vAlign w:val="bottom"/>
          </w:tcPr>
          <w:p>
            <w:pPr>
              <w:jc w:val="center"/>
              <w:spacing w:after="0"/>
              <w:rPr>
                <w:sz w:val="20"/>
                <w:szCs w:val="20"/>
                <w:color w:val="auto"/>
              </w:rPr>
            </w:pPr>
            <w:r>
              <w:rPr>
                <w:rFonts w:ascii="Arial" w:cs="Arial" w:eastAsia="Arial" w:hAnsi="Arial"/>
                <w:sz w:val="17"/>
                <w:szCs w:val="17"/>
                <w:color w:val="auto"/>
                <w:w w:val="99"/>
              </w:rPr>
              <w:t>March 13, 2026</w:t>
            </w:r>
          </w:p>
        </w:tc>
      </w:tr>
      <w:tr>
        <w:trPr>
          <w:trHeight w:val="232"/>
        </w:trPr>
        <w:tc>
          <w:tcPr>
            <w:tcW w:w="3200" w:type="dxa"/>
            <w:vAlign w:val="bottom"/>
            <w:gridSpan w:val="2"/>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Related to 2026:</w:t>
            </w:r>
          </w:p>
        </w:tc>
        <w:tc>
          <w:tcPr>
            <w:tcW w:w="1580" w:type="dxa"/>
            <w:vAlign w:val="bottom"/>
            <w:shd w:val="clear" w:color="auto" w:fill="F3F3F3"/>
          </w:tcPr>
          <w:p>
            <w:pPr>
              <w:spacing w:after="0"/>
              <w:rPr>
                <w:sz w:val="20"/>
                <w:szCs w:val="20"/>
                <w:color w:val="auto"/>
              </w:rPr>
            </w:pPr>
          </w:p>
        </w:tc>
        <w:tc>
          <w:tcPr>
            <w:tcW w:w="100" w:type="dxa"/>
            <w:vAlign w:val="bottom"/>
            <w:shd w:val="clear" w:color="auto" w:fill="F3F3F3"/>
          </w:tcPr>
          <w:p>
            <w:pPr>
              <w:spacing w:after="0"/>
              <w:rPr>
                <w:sz w:val="20"/>
                <w:szCs w:val="20"/>
                <w:color w:val="auto"/>
              </w:rPr>
            </w:pPr>
          </w:p>
        </w:tc>
        <w:tc>
          <w:tcPr>
            <w:tcW w:w="3120" w:type="dxa"/>
            <w:vAlign w:val="bottom"/>
            <w:shd w:val="clear" w:color="auto" w:fill="F3F3F3"/>
          </w:tcPr>
          <w:p>
            <w:pPr>
              <w:spacing w:after="0"/>
              <w:rPr>
                <w:sz w:val="20"/>
                <w:szCs w:val="20"/>
                <w:color w:val="auto"/>
              </w:rPr>
            </w:pPr>
          </w:p>
        </w:tc>
        <w:tc>
          <w:tcPr>
            <w:tcW w:w="80" w:type="dxa"/>
            <w:vAlign w:val="bottom"/>
            <w:shd w:val="clear" w:color="auto" w:fill="F3F3F3"/>
          </w:tcPr>
          <w:p>
            <w:pPr>
              <w:spacing w:after="0"/>
              <w:rPr>
                <w:sz w:val="20"/>
                <w:szCs w:val="20"/>
                <w:color w:val="auto"/>
              </w:rPr>
            </w:pPr>
          </w:p>
        </w:tc>
        <w:tc>
          <w:tcPr>
            <w:tcW w:w="3120" w:type="dxa"/>
            <w:vAlign w:val="bottom"/>
            <w:shd w:val="clear" w:color="auto" w:fill="F3F3F3"/>
          </w:tcPr>
          <w:p>
            <w:pPr>
              <w:spacing w:after="0"/>
              <w:rPr>
                <w:sz w:val="20"/>
                <w:szCs w:val="20"/>
                <w:color w:val="auto"/>
              </w:rPr>
            </w:pPr>
          </w:p>
        </w:tc>
      </w:tr>
      <w:tr>
        <w:trPr>
          <w:trHeight w:val="227"/>
        </w:trPr>
        <w:tc>
          <w:tcPr>
            <w:tcW w:w="3200" w:type="dxa"/>
            <w:vAlign w:val="bottom"/>
            <w:gridSpan w:val="2"/>
          </w:tcPr>
          <w:p>
            <w:pPr>
              <w:ind w:left="120"/>
              <w:spacing w:after="0"/>
              <w:rPr>
                <w:sz w:val="20"/>
                <w:szCs w:val="20"/>
                <w:color w:val="auto"/>
              </w:rPr>
            </w:pPr>
            <w:r>
              <w:rPr>
                <w:rFonts w:ascii="Arial" w:cs="Arial" w:eastAsia="Arial" w:hAnsi="Arial"/>
                <w:sz w:val="17"/>
                <w:szCs w:val="17"/>
                <w:color w:val="auto"/>
              </w:rPr>
              <w:t>February 6, 2026</w:t>
            </w:r>
          </w:p>
        </w:tc>
        <w:tc>
          <w:tcPr>
            <w:tcW w:w="1580" w:type="dxa"/>
            <w:vAlign w:val="bottom"/>
          </w:tcPr>
          <w:p>
            <w:pPr>
              <w:jc w:val="right"/>
              <w:spacing w:after="0"/>
              <w:rPr>
                <w:sz w:val="20"/>
                <w:szCs w:val="20"/>
                <w:color w:val="auto"/>
              </w:rPr>
            </w:pPr>
            <w:r>
              <w:rPr>
                <w:rFonts w:ascii="Arial" w:cs="Arial" w:eastAsia="Arial" w:hAnsi="Arial"/>
                <w:sz w:val="17"/>
                <w:szCs w:val="17"/>
                <w:color w:val="auto"/>
              </w:rPr>
              <w:t>0.1750</w:t>
            </w:r>
          </w:p>
        </w:tc>
        <w:tc>
          <w:tcPr>
            <w:tcW w:w="10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Arial" w:cs="Arial" w:eastAsia="Arial" w:hAnsi="Arial"/>
                <w:sz w:val="17"/>
                <w:szCs w:val="17"/>
                <w:color w:val="auto"/>
              </w:rPr>
              <w:t>March 3, 2026</w:t>
            </w:r>
          </w:p>
        </w:tc>
        <w:tc>
          <w:tcPr>
            <w:tcW w:w="3120" w:type="dxa"/>
            <w:vAlign w:val="bottom"/>
          </w:tcPr>
          <w:p>
            <w:pPr>
              <w:jc w:val="center"/>
              <w:spacing w:after="0"/>
              <w:rPr>
                <w:sz w:val="20"/>
                <w:szCs w:val="20"/>
                <w:color w:val="auto"/>
              </w:rPr>
            </w:pPr>
            <w:r>
              <w:rPr>
                <w:rFonts w:ascii="Arial" w:cs="Arial" w:eastAsia="Arial" w:hAnsi="Arial"/>
                <w:sz w:val="17"/>
                <w:szCs w:val="17"/>
                <w:color w:val="auto"/>
                <w:w w:val="99"/>
              </w:rPr>
              <w:t>March 13, 2026</w:t>
            </w:r>
          </w:p>
        </w:tc>
      </w:tr>
      <w:tr>
        <w:trPr>
          <w:trHeight w:val="232"/>
        </w:trPr>
        <w:tc>
          <w:tcPr>
            <w:tcW w:w="3200" w:type="dxa"/>
            <w:vAlign w:val="bottom"/>
            <w:gridSpan w:val="2"/>
            <w:shd w:val="clear" w:color="auto" w:fill="F3F3F3"/>
          </w:tcPr>
          <w:p>
            <w:pPr>
              <w:ind w:left="120"/>
              <w:spacing w:after="0"/>
              <w:rPr>
                <w:sz w:val="20"/>
                <w:szCs w:val="20"/>
                <w:color w:val="auto"/>
              </w:rPr>
            </w:pPr>
            <w:r>
              <w:rPr>
                <w:rFonts w:ascii="Arial" w:cs="Arial" w:eastAsia="Arial" w:hAnsi="Arial"/>
                <w:sz w:val="17"/>
                <w:szCs w:val="17"/>
                <w:color w:val="auto"/>
              </w:rPr>
              <w:t>May 1, 2026</w:t>
            </w:r>
          </w:p>
        </w:tc>
        <w:tc>
          <w:tcPr>
            <w:tcW w:w="1580" w:type="dxa"/>
            <w:vAlign w:val="bottom"/>
            <w:shd w:val="clear" w:color="auto" w:fill="F3F3F3"/>
          </w:tcPr>
          <w:p>
            <w:pPr>
              <w:jc w:val="right"/>
              <w:spacing w:after="0"/>
              <w:rPr>
                <w:sz w:val="20"/>
                <w:szCs w:val="20"/>
                <w:color w:val="auto"/>
              </w:rPr>
            </w:pPr>
            <w:r>
              <w:rPr>
                <w:rFonts w:ascii="Arial" w:cs="Arial" w:eastAsia="Arial" w:hAnsi="Arial"/>
                <w:sz w:val="17"/>
                <w:szCs w:val="17"/>
                <w:color w:val="auto"/>
              </w:rPr>
              <w:t>0.2000</w:t>
            </w:r>
          </w:p>
        </w:tc>
        <w:tc>
          <w:tcPr>
            <w:tcW w:w="100" w:type="dxa"/>
            <w:vAlign w:val="bottom"/>
            <w:shd w:val="clear" w:color="auto" w:fill="F3F3F3"/>
          </w:tcPr>
          <w:p>
            <w:pPr>
              <w:spacing w:after="0"/>
              <w:rPr>
                <w:sz w:val="20"/>
                <w:szCs w:val="20"/>
                <w:color w:val="auto"/>
              </w:rPr>
            </w:pPr>
          </w:p>
        </w:tc>
        <w:tc>
          <w:tcPr>
            <w:tcW w:w="3200" w:type="dxa"/>
            <w:vAlign w:val="bottom"/>
            <w:gridSpan w:val="2"/>
            <w:shd w:val="clear" w:color="auto" w:fill="F3F3F3"/>
          </w:tcPr>
          <w:p>
            <w:pPr>
              <w:jc w:val="center"/>
              <w:ind w:right="80"/>
              <w:spacing w:after="0"/>
              <w:rPr>
                <w:sz w:val="20"/>
                <w:szCs w:val="20"/>
                <w:color w:val="auto"/>
              </w:rPr>
            </w:pPr>
            <w:r>
              <w:rPr>
                <w:rFonts w:ascii="Arial" w:cs="Arial" w:eastAsia="Arial" w:hAnsi="Arial"/>
                <w:sz w:val="17"/>
                <w:szCs w:val="17"/>
                <w:color w:val="auto"/>
              </w:rPr>
              <w:t>May 29, 2026</w:t>
            </w:r>
          </w:p>
        </w:tc>
        <w:tc>
          <w:tcPr>
            <w:tcW w:w="3120" w:type="dxa"/>
            <w:vAlign w:val="bottom"/>
            <w:shd w:val="clear" w:color="auto" w:fill="F3F3F3"/>
          </w:tcPr>
          <w:p>
            <w:pPr>
              <w:jc w:val="center"/>
              <w:spacing w:after="0"/>
              <w:rPr>
                <w:sz w:val="20"/>
                <w:szCs w:val="20"/>
                <w:color w:val="auto"/>
              </w:rPr>
            </w:pPr>
            <w:r>
              <w:rPr>
                <w:rFonts w:ascii="Arial" w:cs="Arial" w:eastAsia="Arial" w:hAnsi="Arial"/>
                <w:sz w:val="17"/>
                <w:szCs w:val="17"/>
                <w:color w:val="auto"/>
              </w:rPr>
              <w:t>June 12, 2026</w:t>
            </w:r>
          </w:p>
        </w:tc>
      </w:tr>
    </w:tbl>
    <w:p>
      <w:pPr>
        <w:spacing w:after="0" w:line="118" w:lineRule="exact"/>
        <w:rPr>
          <w:sz w:val="20"/>
          <w:szCs w:val="20"/>
          <w:color w:val="auto"/>
        </w:rPr>
      </w:pPr>
    </w:p>
    <w:p>
      <w:pPr>
        <w:ind w:left="340" w:hanging="332"/>
        <w:spacing w:after="0" w:line="291" w:lineRule="auto"/>
        <w:tabs>
          <w:tab w:leader="none" w:pos="338"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Dividends per share has been adjusted to reflect the four-for-one forward split of common stock. See Note 1 to our unaudited consolidated financial statements included in Part I, Item 1 of this Quarterly Report on Form 10-Q.</w:t>
      </w:r>
    </w:p>
    <w:p>
      <w:pPr>
        <w:ind w:left="320" w:hanging="312"/>
        <w:spacing w:after="0"/>
        <w:tabs>
          <w:tab w:leader="none" w:pos="320" w:val="left"/>
        </w:tabs>
        <w:numPr>
          <w:ilvl w:val="0"/>
          <w:numId w:val="15"/>
        </w:numPr>
        <w:rPr>
          <w:rFonts w:ascii="Arial" w:cs="Arial" w:eastAsia="Arial" w:hAnsi="Arial"/>
          <w:sz w:val="15"/>
          <w:szCs w:val="15"/>
          <w:i w:val="1"/>
          <w:iCs w:val="1"/>
          <w:color w:val="auto"/>
        </w:rPr>
      </w:pPr>
      <w:r>
        <w:rPr>
          <w:rFonts w:ascii="Arial" w:cs="Arial" w:eastAsia="Arial" w:hAnsi="Arial"/>
          <w:sz w:val="15"/>
          <w:szCs w:val="15"/>
          <w:i w:val="1"/>
          <w:iCs w:val="1"/>
          <w:color w:val="auto"/>
        </w:rPr>
        <w:t>Represents a special cash dividend.</w:t>
      </w:r>
    </w:p>
    <w:p>
      <w:pPr>
        <w:spacing w:after="0" w:line="255"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As part of our capital management strategy, we repurchase our common stock over time in order to offset the dilutive effect of our employee stock-based compensation awards and our grants of acquisition-related restricted stock, as well as to return capital to shareholders.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Effective February 5, 2025, our board of directors authorized the repurchase of up to $150.0 million in common shares through December 31, 2026. During the three months ended March 31, 2026, we repurchased 425,148 shares of our common stock at an average price of $77.73 per share for an aggregate purchase price of $33.0 million related to this authorization. At March 31, 2026, we had $88.5 million remaining under this authorization.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6" w:name="page47"/>
    <w:bookmarkEnd w:id="46"/>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also purchase shares of common stock from restricted stock award recipients upon the award vesting as recipients sell shares to meet their employment tax obligations. During the first quarter of 2026, we purchased 458,656 shares of our common stock at an average price of $80.33 per share for an aggregate purchase price of $36.8 million for these purposes.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Split</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March 23, 2026, we effected a four-for-one forward split of our common stock ("Stock Split") through the filing of an amendment to our amended and restated certificate of incorporation, which was accompanied by a proportionate increase in the number of shares of our authorized common stock. Our common stock began trading on the split-adjusted basis at the start of trading on March 24, 2026. All share and per share amounts presented herein have been retrospectively adjusted to reflect the impact of the Stock Split.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18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following table presents total assets, adjusted assets, total shareholders' equity and tangible common shareholders' equity with the resulting leverage ratios:</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7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gridSpan w:val="2"/>
          </w:tcPr>
          <w:p>
            <w:pPr>
              <w:ind w:left="140"/>
              <w:spacing w:after="0"/>
              <w:rPr>
                <w:sz w:val="20"/>
                <w:szCs w:val="20"/>
                <w:color w:val="auto"/>
              </w:rPr>
            </w:pPr>
            <w:r>
              <w:rPr>
                <w:rFonts w:ascii="Arial" w:cs="Arial" w:eastAsia="Arial" w:hAnsi="Arial"/>
                <w:sz w:val="17"/>
                <w:szCs w:val="17"/>
                <w:b w:val="1"/>
                <w:bCs w:val="1"/>
                <w:color w:val="auto"/>
              </w:rPr>
              <w:t>March 31,</w:t>
            </w:r>
          </w:p>
        </w:tc>
        <w:tc>
          <w:tcPr>
            <w:tcW w:w="18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Arial" w:cs="Arial" w:eastAsia="Arial" w:hAnsi="Arial"/>
                <w:sz w:val="17"/>
                <w:szCs w:val="17"/>
                <w:b w:val="1"/>
                <w:bCs w:val="1"/>
                <w:color w:val="auto"/>
              </w:rPr>
              <w:t>December 31,</w:t>
            </w:r>
          </w:p>
        </w:tc>
      </w:tr>
      <w:tr>
        <w:trPr>
          <w:trHeight w:val="236"/>
        </w:trPr>
        <w:tc>
          <w:tcPr>
            <w:tcW w:w="792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(Dollars in thousands)</w:t>
            </w: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2026</w:t>
            </w:r>
          </w:p>
        </w:tc>
        <w:tc>
          <w:tcPr>
            <w:tcW w:w="100" w:type="dxa"/>
            <w:vAlign w:val="bottom"/>
            <w:tcBorders>
              <w:bottom w:val="single" w:sz="8" w:color="F3F3F3"/>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2025</w:t>
            </w:r>
          </w:p>
        </w:tc>
      </w:tr>
      <w:tr>
        <w:trPr>
          <w:trHeight w:val="225"/>
        </w:trPr>
        <w:tc>
          <w:tcPr>
            <w:tcW w:w="792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Total assets</w:t>
            </w:r>
          </w:p>
        </w:tc>
        <w:tc>
          <w:tcPr>
            <w:tcW w:w="260" w:type="dxa"/>
            <w:vAlign w:val="bottom"/>
            <w:shd w:val="clear" w:color="auto" w:fill="F3F3F3"/>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2,130,063</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2,592,646</w:t>
            </w:r>
          </w:p>
        </w:tc>
      </w:tr>
      <w:tr>
        <w:trPr>
          <w:trHeight w:val="229"/>
        </w:trPr>
        <w:tc>
          <w:tcPr>
            <w:tcW w:w="7920" w:type="dxa"/>
            <w:vAlign w:val="bottom"/>
          </w:tcPr>
          <w:p>
            <w:pPr>
              <w:ind w:left="120"/>
              <w:spacing w:after="0"/>
              <w:rPr>
                <w:sz w:val="20"/>
                <w:szCs w:val="20"/>
                <w:color w:val="auto"/>
              </w:rPr>
            </w:pPr>
            <w:r>
              <w:rPr>
                <w:rFonts w:ascii="Arial" w:cs="Arial" w:eastAsia="Arial" w:hAnsi="Arial"/>
                <w:sz w:val="17"/>
                <w:szCs w:val="17"/>
                <w:color w:val="auto"/>
              </w:rPr>
              <w:t>Deduct: Goodwill and intangible assets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(417,940)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(418,856)</w:t>
            </w:r>
          </w:p>
        </w:tc>
      </w:tr>
      <w:tr>
        <w:trPr>
          <w:trHeight w:val="230"/>
        </w:trPr>
        <w:tc>
          <w:tcPr>
            <w:tcW w:w="7920" w:type="dxa"/>
            <w:vAlign w:val="bottom"/>
            <w:shd w:val="clear" w:color="auto" w:fill="F3F3F3"/>
          </w:tcPr>
          <w:p>
            <w:pPr>
              <w:ind w:left="120"/>
              <w:spacing w:after="0"/>
              <w:rPr>
                <w:sz w:val="20"/>
                <w:szCs w:val="20"/>
                <w:color w:val="auto"/>
              </w:rPr>
            </w:pPr>
            <w:r>
              <w:rPr>
                <w:rFonts w:ascii="Arial" w:cs="Arial" w:eastAsia="Arial" w:hAnsi="Arial"/>
                <w:sz w:val="17"/>
                <w:szCs w:val="17"/>
                <w:color w:val="auto"/>
              </w:rPr>
              <w:t>Deduct: Right-of-use lease assets</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(60,474)</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(64,004)</w:t>
            </w:r>
          </w:p>
        </w:tc>
      </w:tr>
      <w:tr>
        <w:trPr>
          <w:trHeight w:val="229"/>
        </w:trPr>
        <w:tc>
          <w:tcPr>
            <w:tcW w:w="7920" w:type="dxa"/>
            <w:vAlign w:val="bottom"/>
            <w:tcBorders>
              <w:bottom w:val="single" w:sz="8" w:color="F3F3F3"/>
            </w:tcBorders>
          </w:tcPr>
          <w:p>
            <w:pPr>
              <w:ind w:left="120"/>
              <w:spacing w:after="0"/>
              <w:rPr>
                <w:sz w:val="20"/>
                <w:szCs w:val="20"/>
                <w:color w:val="auto"/>
              </w:rPr>
            </w:pPr>
            <w:r>
              <w:rPr>
                <w:rFonts w:ascii="Arial" w:cs="Arial" w:eastAsia="Arial" w:hAnsi="Arial"/>
                <w:sz w:val="17"/>
                <w:szCs w:val="17"/>
                <w:color w:val="auto"/>
              </w:rPr>
              <w:t>Deduct: Assets attributable to noncontrolling interests</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(218,068)</w:t>
            </w:r>
          </w:p>
        </w:tc>
        <w:tc>
          <w:tcPr>
            <w:tcW w:w="100" w:type="dxa"/>
            <w:vAlign w:val="bottom"/>
            <w:tcBorders>
              <w:bottom w:val="single" w:sz="8" w:color="F3F3F3"/>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(217,726)</w:t>
            </w:r>
          </w:p>
        </w:tc>
      </w:tr>
      <w:tr>
        <w:trPr>
          <w:trHeight w:val="248"/>
        </w:trPr>
        <w:tc>
          <w:tcPr>
            <w:tcW w:w="7920" w:type="dxa"/>
            <w:vAlign w:val="bottom"/>
            <w:tcBorders>
              <w:bottom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color w:val="auto"/>
              </w:rPr>
              <w:t>Adjusted assets</w:t>
            </w:r>
          </w:p>
        </w:tc>
        <w:tc>
          <w:tcPr>
            <w:tcW w:w="260" w:type="dxa"/>
            <w:vAlign w:val="bottom"/>
            <w:tcBorders>
              <w:bottom w:val="single" w:sz="8" w:color="auto"/>
            </w:tcBorders>
            <w:shd w:val="clear" w:color="auto" w:fill="F3F3F3"/>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1,433,581</w:t>
            </w:r>
          </w:p>
        </w:tc>
        <w:tc>
          <w:tcPr>
            <w:tcW w:w="100" w:type="dxa"/>
            <w:vAlign w:val="bottom"/>
            <w:tcBorders>
              <w:bottom w:val="single" w:sz="8" w:color="F3F3F3"/>
            </w:tcBorders>
            <w:shd w:val="clear" w:color="auto" w:fill="F3F3F3"/>
          </w:tcPr>
          <w:p>
            <w:pPr>
              <w:spacing w:after="0"/>
              <w:rPr>
                <w:sz w:val="21"/>
                <w:szCs w:val="21"/>
                <w:color w:val="auto"/>
              </w:rPr>
            </w:pPr>
          </w:p>
        </w:tc>
        <w:tc>
          <w:tcPr>
            <w:tcW w:w="1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1,892,060</w:t>
            </w:r>
          </w:p>
        </w:tc>
      </w:tr>
      <w:tr>
        <w:trPr>
          <w:trHeight w:val="20"/>
        </w:trPr>
        <w:tc>
          <w:tcPr>
            <w:tcW w:w="7920" w:type="dxa"/>
            <w:vAlign w:val="bottom"/>
            <w:tcBorders>
              <w:top w:val="single" w:sz="8" w:color="F3F3F3"/>
            </w:tcBorders>
          </w:tcPr>
          <w:p>
            <w:pPr>
              <w:spacing w:after="0" w:line="20" w:lineRule="exact"/>
              <w:rPr>
                <w:sz w:val="1"/>
                <w:szCs w:val="1"/>
                <w:color w:val="auto"/>
              </w:rPr>
            </w:pPr>
          </w:p>
        </w:tc>
        <w:tc>
          <w:tcPr>
            <w:tcW w:w="260" w:type="dxa"/>
            <w:vAlign w:val="bottom"/>
            <w:tcBorders>
              <w:top w:val="single" w:sz="8" w:color="F3F3F3"/>
              <w:bottom w:val="single" w:sz="8" w:color="auto"/>
            </w:tcBorders>
          </w:tcPr>
          <w:p>
            <w:pPr>
              <w:spacing w:after="0" w:line="20" w:lineRule="exact"/>
              <w:rPr>
                <w:sz w:val="1"/>
                <w:szCs w:val="1"/>
                <w:color w:val="auto"/>
              </w:rPr>
            </w:pPr>
          </w:p>
        </w:tc>
        <w:tc>
          <w:tcPr>
            <w:tcW w:w="1340" w:type="dxa"/>
            <w:vAlign w:val="bottom"/>
            <w:tcBorders>
              <w:top w:val="single" w:sz="8" w:color="F3F3F3"/>
              <w:bottom w:val="single" w:sz="8" w:color="auto"/>
            </w:tcBorders>
          </w:tcPr>
          <w:p>
            <w:pPr>
              <w:spacing w:after="0" w:line="20" w:lineRule="exact"/>
              <w:rPr>
                <w:sz w:val="1"/>
                <w:szCs w:val="1"/>
                <w:color w:val="auto"/>
              </w:rPr>
            </w:pPr>
          </w:p>
        </w:tc>
        <w:tc>
          <w:tcPr>
            <w:tcW w:w="100" w:type="dxa"/>
            <w:vAlign w:val="bottom"/>
            <w:tcBorders>
              <w:top w:val="single" w:sz="8" w:color="F3F3F3"/>
            </w:tcBorders>
          </w:tcPr>
          <w:p>
            <w:pPr>
              <w:spacing w:after="0" w:line="20" w:lineRule="exact"/>
              <w:rPr>
                <w:sz w:val="1"/>
                <w:szCs w:val="1"/>
                <w:color w:val="auto"/>
              </w:rPr>
            </w:pPr>
          </w:p>
        </w:tc>
        <w:tc>
          <w:tcPr>
            <w:tcW w:w="180" w:type="dxa"/>
            <w:vAlign w:val="bottom"/>
            <w:tcBorders>
              <w:top w:val="single" w:sz="8" w:color="F3F3F3"/>
              <w:bottom w:val="single" w:sz="8" w:color="auto"/>
            </w:tcBorders>
          </w:tcPr>
          <w:p>
            <w:pPr>
              <w:spacing w:after="0" w:line="20" w:lineRule="exact"/>
              <w:rPr>
                <w:sz w:val="1"/>
                <w:szCs w:val="1"/>
                <w:color w:val="auto"/>
              </w:rPr>
            </w:pPr>
          </w:p>
        </w:tc>
        <w:tc>
          <w:tcPr>
            <w:tcW w:w="1400" w:type="dxa"/>
            <w:vAlign w:val="bottom"/>
            <w:tcBorders>
              <w:top w:val="single" w:sz="8" w:color="F3F3F3"/>
              <w:bottom w:val="single" w:sz="8" w:color="auto"/>
            </w:tcBorders>
          </w:tcPr>
          <w:p>
            <w:pPr>
              <w:spacing w:after="0" w:line="20" w:lineRule="exact"/>
              <w:rPr>
                <w:sz w:val="1"/>
                <w:szCs w:val="1"/>
                <w:color w:val="auto"/>
              </w:rPr>
            </w:pPr>
          </w:p>
        </w:tc>
      </w:tr>
      <w:tr>
        <w:trPr>
          <w:trHeight w:val="203"/>
        </w:trPr>
        <w:tc>
          <w:tcPr>
            <w:tcW w:w="7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29"/>
        </w:trPr>
        <w:tc>
          <w:tcPr>
            <w:tcW w:w="792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Total shareholders' equity</w:t>
            </w:r>
          </w:p>
        </w:tc>
        <w:tc>
          <w:tcPr>
            <w:tcW w:w="260" w:type="dxa"/>
            <w:vAlign w:val="bottom"/>
            <w:shd w:val="clear" w:color="auto" w:fill="F3F3F3"/>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1,557,859</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1,582,793</w:t>
            </w:r>
          </w:p>
        </w:tc>
      </w:tr>
      <w:tr>
        <w:trPr>
          <w:trHeight w:val="230"/>
        </w:trPr>
        <w:tc>
          <w:tcPr>
            <w:tcW w:w="7920" w:type="dxa"/>
            <w:vAlign w:val="bottom"/>
          </w:tcPr>
          <w:p>
            <w:pPr>
              <w:ind w:left="120"/>
              <w:spacing w:after="0"/>
              <w:rPr>
                <w:sz w:val="20"/>
                <w:szCs w:val="20"/>
                <w:color w:val="auto"/>
              </w:rPr>
            </w:pPr>
            <w:r>
              <w:rPr>
                <w:rFonts w:ascii="Arial" w:cs="Arial" w:eastAsia="Arial" w:hAnsi="Arial"/>
                <w:sz w:val="17"/>
                <w:szCs w:val="17"/>
                <w:color w:val="auto"/>
              </w:rPr>
              <w:t>Deduct: Goodwill and intangible assets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(417,940)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(418,856)</w:t>
            </w:r>
          </w:p>
        </w:tc>
      </w:tr>
      <w:tr>
        <w:trPr>
          <w:trHeight w:val="229"/>
        </w:trPr>
        <w:tc>
          <w:tcPr>
            <w:tcW w:w="7920" w:type="dxa"/>
            <w:vAlign w:val="bottom"/>
            <w:shd w:val="clear" w:color="auto" w:fill="F3F3F3"/>
          </w:tcPr>
          <w:p>
            <w:pPr>
              <w:ind w:left="120"/>
              <w:spacing w:after="0"/>
              <w:rPr>
                <w:sz w:val="20"/>
                <w:szCs w:val="20"/>
                <w:color w:val="auto"/>
              </w:rPr>
            </w:pPr>
            <w:r>
              <w:rPr>
                <w:rFonts w:ascii="Arial" w:cs="Arial" w:eastAsia="Arial" w:hAnsi="Arial"/>
                <w:sz w:val="17"/>
                <w:szCs w:val="17"/>
                <w:color w:val="auto"/>
              </w:rPr>
              <w:t>Deduct: Noncontrolling interests</w:t>
            </w:r>
          </w:p>
        </w:tc>
        <w:tc>
          <w:tcPr>
            <w:tcW w:w="26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(216,023)</w:t>
            </w:r>
          </w:p>
        </w:tc>
        <w:tc>
          <w:tcPr>
            <w:tcW w:w="10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spacing w:after="0"/>
              <w:rPr>
                <w:sz w:val="19"/>
                <w:szCs w:val="19"/>
                <w:color w:val="auto"/>
              </w:rPr>
            </w:pPr>
          </w:p>
        </w:tc>
        <w:tc>
          <w:tcPr>
            <w:tcW w:w="14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(211,786)</w:t>
            </w:r>
          </w:p>
        </w:tc>
      </w:tr>
      <w:tr>
        <w:trPr>
          <w:trHeight w:val="223"/>
        </w:trPr>
        <w:tc>
          <w:tcPr>
            <w:tcW w:w="7920" w:type="dxa"/>
            <w:vAlign w:val="bottom"/>
          </w:tcPr>
          <w:p>
            <w:pPr>
              <w:ind w:left="20"/>
              <w:spacing w:after="0"/>
              <w:rPr>
                <w:sz w:val="20"/>
                <w:szCs w:val="20"/>
                <w:color w:val="auto"/>
              </w:rPr>
            </w:pPr>
            <w:r>
              <w:rPr>
                <w:rFonts w:ascii="Arial" w:cs="Arial" w:eastAsia="Arial" w:hAnsi="Arial"/>
                <w:sz w:val="17"/>
                <w:szCs w:val="17"/>
                <w:b w:val="1"/>
                <w:bCs w:val="1"/>
                <w:color w:val="auto"/>
              </w:rPr>
              <w:t>Tangible common shareholders' equity</w:t>
            </w:r>
          </w:p>
        </w:tc>
        <w:tc>
          <w:tcPr>
            <w:tcW w:w="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923,896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952,151</w:t>
            </w:r>
          </w:p>
        </w:tc>
      </w:tr>
      <w:tr>
        <w:trPr>
          <w:trHeight w:val="20"/>
        </w:trPr>
        <w:tc>
          <w:tcPr>
            <w:tcW w:w="7920" w:type="dxa"/>
            <w:vAlign w:val="bottom"/>
            <w:tcBorders>
              <w:bottom w:val="single" w:sz="8" w:color="F3F3F3"/>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F3F3F3"/>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24"/>
        </w:trPr>
        <w:tc>
          <w:tcPr>
            <w:tcW w:w="7920" w:type="dxa"/>
            <w:vAlign w:val="bottom"/>
            <w:shd w:val="clear" w:color="auto" w:fill="F3F3F3"/>
          </w:tcPr>
          <w:p>
            <w:pPr>
              <w:spacing w:after="0"/>
              <w:rPr>
                <w:sz w:val="19"/>
                <w:szCs w:val="19"/>
                <w:color w:val="auto"/>
              </w:rPr>
            </w:pP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00" w:type="dxa"/>
            <w:vAlign w:val="bottom"/>
            <w:shd w:val="clear" w:color="auto" w:fill="F3F3F3"/>
          </w:tcPr>
          <w:p>
            <w:pPr>
              <w:spacing w:after="0"/>
              <w:rPr>
                <w:sz w:val="19"/>
                <w:szCs w:val="19"/>
                <w:color w:val="auto"/>
              </w:rPr>
            </w:pPr>
          </w:p>
        </w:tc>
      </w:tr>
      <w:tr>
        <w:trPr>
          <w:trHeight w:val="230"/>
        </w:trPr>
        <w:tc>
          <w:tcPr>
            <w:tcW w:w="7920" w:type="dxa"/>
            <w:vAlign w:val="bottom"/>
          </w:tcPr>
          <w:p>
            <w:pPr>
              <w:ind w:left="20"/>
              <w:spacing w:after="0"/>
              <w:rPr>
                <w:sz w:val="20"/>
                <w:szCs w:val="20"/>
                <w:color w:val="auto"/>
              </w:rPr>
            </w:pPr>
            <w:r>
              <w:rPr>
                <w:rFonts w:ascii="Arial" w:cs="Arial" w:eastAsia="Arial" w:hAnsi="Arial"/>
                <w:sz w:val="17"/>
                <w:szCs w:val="17"/>
                <w:b w:val="1"/>
                <w:bCs w:val="1"/>
                <w:color w:val="auto"/>
              </w:rPr>
              <w:t>Leverage ratio (1)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29"/>
        </w:trPr>
        <w:tc>
          <w:tcPr>
            <w:tcW w:w="7920" w:type="dxa"/>
            <w:vAlign w:val="bottom"/>
            <w:shd w:val="clear" w:color="auto" w:fill="F3F3F3"/>
          </w:tcPr>
          <w:p>
            <w:pPr>
              <w:ind w:left="20"/>
              <w:spacing w:after="0"/>
              <w:rPr>
                <w:sz w:val="20"/>
                <w:szCs w:val="20"/>
                <w:color w:val="auto"/>
              </w:rPr>
            </w:pPr>
            <w:r>
              <w:rPr>
                <w:rFonts w:ascii="Arial" w:cs="Arial" w:eastAsia="Arial" w:hAnsi="Arial"/>
                <w:sz w:val="17"/>
                <w:szCs w:val="17"/>
                <w:b w:val="1"/>
                <w:bCs w:val="1"/>
                <w:color w:val="auto"/>
              </w:rPr>
              <w:t>Adjusted leverage ratio (2)</w:t>
            </w:r>
          </w:p>
        </w:tc>
        <w:tc>
          <w:tcPr>
            <w:tcW w:w="260" w:type="dxa"/>
            <w:vAlign w:val="bottom"/>
            <w:shd w:val="clear" w:color="auto" w:fill="F3F3F3"/>
          </w:tcPr>
          <w:p>
            <w:pPr>
              <w:spacing w:after="0"/>
              <w:rPr>
                <w:sz w:val="19"/>
                <w:szCs w:val="19"/>
                <w:color w:val="auto"/>
              </w:rPr>
            </w:pPr>
          </w:p>
        </w:tc>
        <w:tc>
          <w:tcPr>
            <w:tcW w:w="13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1.6</w:t>
            </w:r>
          </w:p>
        </w:tc>
        <w:tc>
          <w:tcPr>
            <w:tcW w:w="10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40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2.0</w:t>
            </w:r>
          </w:p>
        </w:tc>
      </w:tr>
    </w:tbl>
    <w:p>
      <w:pPr>
        <w:spacing w:after="0" w:line="9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Leverage ratio equals total assets divided by total shareholders' equity.</w:t>
      </w:r>
    </w:p>
    <w:p>
      <w:pPr>
        <w:spacing w:after="0" w:line="70" w:lineRule="exact"/>
        <w:rPr>
          <w:rFonts w:ascii="Arial" w:cs="Arial" w:eastAsia="Arial" w:hAnsi="Arial"/>
          <w:sz w:val="15"/>
          <w:szCs w:val="15"/>
          <w:i w:val="1"/>
          <w:iCs w:val="1"/>
          <w:color w:val="auto"/>
        </w:rPr>
      </w:pPr>
    </w:p>
    <w:p>
      <w:pPr>
        <w:ind w:left="320" w:hanging="312"/>
        <w:spacing w:after="0"/>
        <w:tabs>
          <w:tab w:leader="none" w:pos="320" w:val="left"/>
        </w:tabs>
        <w:numPr>
          <w:ilvl w:val="0"/>
          <w:numId w:val="16"/>
        </w:numPr>
        <w:rPr>
          <w:rFonts w:ascii="Arial" w:cs="Arial" w:eastAsia="Arial" w:hAnsi="Arial"/>
          <w:sz w:val="15"/>
          <w:szCs w:val="15"/>
          <w:i w:val="1"/>
          <w:iCs w:val="1"/>
          <w:color w:val="auto"/>
        </w:rPr>
      </w:pPr>
      <w:r>
        <w:rPr>
          <w:rFonts w:ascii="Arial" w:cs="Arial" w:eastAsia="Arial" w:hAnsi="Arial"/>
          <w:sz w:val="15"/>
          <w:szCs w:val="15"/>
          <w:i w:val="1"/>
          <w:iCs w:val="1"/>
          <w:color w:val="auto"/>
        </w:rPr>
        <w:t>Adjusted leverage ratio equals adjusted assets divided by tangible common shareholders' equity.</w:t>
      </w:r>
    </w:p>
    <w:p>
      <w:pPr>
        <w:spacing w:after="0" w:line="25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Adjusted assets and tangible common shareholders' equity are non-GAAP financial measures. Goodwill and intangible assets are subtracted from total assets and total shareholders' equity in determining adjusted assets and tangible common shareholders' equity, respectively, as we believe that goodwill and intangible assets do not constitute operating assets that can be deployed in a liquid manner. Right-of-use lease assets are also subtracted from total assets in determining adjusted assets as these are not operating assets that can be deployed in a liquid manner. Amounts attributable to noncontrolling interests are subtracted from total assets and total shareholders' equity in determining adjusted assets and tangible common shareholders' equity, respectively, as they represent assets and equity interests in consolidated entities that are not attributable, either directly or indirectly, to Piper Sandler Companies. We view the resulting measure of adjusted leverage, also a non-GAAP financial measure, as a more relevant measure of financial risk when comparing financial services companies. Our adjusted leverage ratio decreased from December 31, 2025, primarily due to a decline in cash and cash equivalents driven by the payment of annual incentive compensation in the first quarter of 2026.</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and Capital Resources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primary goal of our funding activities is to ensure adequate funding over a wide range of market conditions. Given the mix of our business activities, funding requirements are fulfilled through a diversified range of financing arrangements. We attempt to ensure that the tenor of our borrowing liabilities equals or exceeds the expected holding period of the assets being financed. Our ability to support increases in total assets is largely a function of our ability to obtain funding from external sources. Access to these external sources, as well as the cost of that financing, is dependent upon various factors, including market conditions, the general availability of credit and credit ratings. We currently do not have a credit rating, which could adversely affect our liquidity and competitive position by increasing our financing costs and limiting access to sources of liquidity that require a credit rating as a condition to providing the funds.</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day-to-day funding and liquidity is obtained primarily through the use of cash from our operating activities, as well as through the use of a clearing arrangement with Pershing LLC ("Pershing") and a clearing arrangement with bank financing, which are typically collateralized by our securities inventory. These funding sources are critical to our ability to finance and hold inventory, which is a necessary part of our institutional brokerage business. The majority of our inventory is liquid and is therefore funded by short-term facilities or cash from our operating activities. Our funding sources are dependent on the types of inventory that our counterparties are willing to accept as collateral and the number of counterparties available. Our unsecured revolving credit facility has been established for working capital and general corporate purposes. Our secured revolving credit facility has been established for our private capital advisory business. Funding is generally obtained at rates based upon the federal funds rate or the Secured Overnight Financing Rate.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Pershing Clearing Arrangement</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have established an arrangement to obtain financing from Pershing related to the majority of our trading activities. Under our fully disclosed clearing agreement, all of our securities inventories with the exception of convertible securities, and all of our customer activities are held by or cleared through Pershing. Financing under this arrangement is secured primarily by securities, and collateral limitations could reduce the amount of funding available under this arrangement. We may accommodate non-standard settlement timeframes for our clients, which can impact our funding and collateral balances. Our clearing arrangement activities are recorded net of trading activity and reported within receivables from or payables to brokers, dealers and clearing organizations. The funding is at the discretion of Pershing (i.e., uncommitted) and could be denied without a notice period. Our fully disclosed clearing agreement includes a covenant requiring Piper Sandler &amp; Co., our U.S. broker dealer subsidiary, to maintain excess net capital of $120 million. At March 31, 2026, we had $4.1 million of financing outstanding under this arrangement.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Arrangement with Bank Financing</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have established a financing arrangement with a U.S. branch of Canadian Imperial Bank of Commerce ("CIBC") related to our convertible securities inventories. Under this arrangement, our convertible securities inventories are cleared through a broker dealer affiliate of CIBC and held by CIBC. We generally economically hedge changes in the market value of our convertible securities inventories using the underlying common stock or the stock options of the underlying common stock. Financing under this arrangement is secured primarily by convertible securities and collateral limitations could reduce the amount of funding available. The funding is at the discretion of CIBC (i.e., uncommitted) and could be denied subject to a notice period. This arrangement is reported within receivables from or payables to brokers, dealers and clearing organizations, net of trading activity. At March 31, 2026, we had $29.9 million of financing outstanding under this arrangement.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Revolving Credit Facility</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have an unsecured $120 million revolving credit facility with U.S. Bank N.A. The credit agreement will terminate on December 20, 2028, unless otherwise terminated. At March 31, 2026, there were $10.0 million of advances against this credit facility.</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credit facility includes customary events of default and covenants that, among other things, require Piper Sandler &amp; Co. to maintain a minimum regulatory net capital of $120 million, limit our leverage ratio, require maintenance of a minimum ratio of operating cash flow to fixed charges, and impose certain limitations on our ability to make acquisitions and make payments on our capital stock. At March 31, 2026, we were in compliance with all covenants.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8" w:name="page49"/>
    <w:bookmarkEnd w:id="48"/>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Revolving Credit Facility</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We have a $30 million revolving credit facility with Huntington Bancshares Incorporated related to our private capital advisory business. Advances under this facility are secured by certain installment fee receivables. The credit agreement will terminate on August 23, 2027, unless otherwise terminated. At March 31, 2026, there were $5.0 million of advances against this credit facility.</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This credit facility includes customary events of default and covenants that, among other things, require Piper Sandler &amp; Co. to maintain a minimum regulatory net capital of $120 million, limit our leverage ratio, require maintenance of a minimum fixed charge coverage ratio, and impose certain limitations on our ability to make acquisitions and make payments on our capital stock. At March 31, 2026, we were in compliance with all covenants.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Funding Balances Outstanding and Maximum Daily Funding By Quarter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average balances outstanding for our various funding sources by quarter for 2026 and 2025:</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gridSpan w:val="8"/>
          </w:tcPr>
          <w:p>
            <w:pPr>
              <w:jc w:val="center"/>
              <w:ind w:right="260"/>
              <w:spacing w:after="0"/>
              <w:rPr>
                <w:sz w:val="20"/>
                <w:szCs w:val="20"/>
                <w:color w:val="auto"/>
              </w:rPr>
            </w:pPr>
            <w:r>
              <w:rPr>
                <w:rFonts w:ascii="Arial" w:cs="Arial" w:eastAsia="Arial" w:hAnsi="Arial"/>
                <w:sz w:val="17"/>
                <w:szCs w:val="17"/>
                <w:b w:val="1"/>
                <w:bCs w:val="1"/>
                <w:color w:val="auto"/>
              </w:rPr>
              <w:t>Average Balance for the Three Months Ended</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80" w:type="dxa"/>
            <w:vAlign w:val="bottom"/>
          </w:tcPr>
          <w:p>
            <w:pPr>
              <w:ind w:left="20"/>
              <w:spacing w:after="0"/>
              <w:rPr>
                <w:sz w:val="20"/>
                <w:szCs w:val="20"/>
                <w:color w:val="auto"/>
              </w:rPr>
            </w:pPr>
            <w:r>
              <w:rPr>
                <w:rFonts w:ascii="Arial" w:cs="Arial" w:eastAsia="Arial" w:hAnsi="Arial"/>
                <w:sz w:val="15"/>
                <w:szCs w:val="15"/>
                <w:i w:val="1"/>
                <w:iCs w:val="1"/>
                <w:color w:val="auto"/>
              </w:rPr>
              <w:t>(Amounts in millions)</w:t>
            </w:r>
          </w:p>
        </w:tc>
        <w:tc>
          <w:tcPr>
            <w:tcW w:w="18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b w:val="1"/>
                <w:bCs w:val="1"/>
                <w:color w:val="auto"/>
              </w:rPr>
              <w:t>Mar. 31, 2026</w:t>
            </w:r>
          </w:p>
        </w:tc>
        <w:tc>
          <w:tcPr>
            <w:tcW w:w="160" w:type="dxa"/>
            <w:vAlign w:val="bottom"/>
          </w:tcPr>
          <w:p>
            <w:pPr>
              <w:spacing w:after="0"/>
              <w:rPr>
                <w:sz w:val="19"/>
                <w:szCs w:val="19"/>
                <w:color w:val="auto"/>
              </w:rPr>
            </w:pPr>
          </w:p>
        </w:tc>
        <w:tc>
          <w:tcPr>
            <w:tcW w:w="1440" w:type="dxa"/>
            <w:vAlign w:val="bottom"/>
            <w:gridSpan w:val="2"/>
          </w:tcPr>
          <w:p>
            <w:pPr>
              <w:ind w:left="60"/>
              <w:spacing w:after="0"/>
              <w:rPr>
                <w:sz w:val="20"/>
                <w:szCs w:val="20"/>
                <w:color w:val="auto"/>
              </w:rPr>
            </w:pPr>
            <w:r>
              <w:rPr>
                <w:rFonts w:ascii="Arial" w:cs="Arial" w:eastAsia="Arial" w:hAnsi="Arial"/>
                <w:sz w:val="17"/>
                <w:szCs w:val="17"/>
                <w:b w:val="1"/>
                <w:bCs w:val="1"/>
                <w:color w:val="auto"/>
              </w:rPr>
              <w:t>Dec. 31, 2025</w:t>
            </w:r>
          </w:p>
        </w:tc>
        <w:tc>
          <w:tcPr>
            <w:tcW w:w="16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9"/>
              </w:rPr>
              <w:t>Sept. 30, 2025</w:t>
            </w:r>
          </w:p>
        </w:tc>
        <w:tc>
          <w:tcPr>
            <w:tcW w:w="16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b w:val="1"/>
                <w:bCs w:val="1"/>
                <w:color w:val="auto"/>
              </w:rPr>
              <w:t>June 30, 2025</w:t>
            </w:r>
          </w:p>
        </w:tc>
        <w:tc>
          <w:tcPr>
            <w:tcW w:w="18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7"/>
                <w:szCs w:val="17"/>
                <w:b w:val="1"/>
                <w:bCs w:val="1"/>
                <w:color w:val="auto"/>
              </w:rPr>
              <w:t>Mar. 31, 2025</w:t>
            </w:r>
          </w:p>
        </w:tc>
        <w:tc>
          <w:tcPr>
            <w:tcW w:w="0" w:type="dxa"/>
            <w:vAlign w:val="bottom"/>
          </w:tcPr>
          <w:p>
            <w:pPr>
              <w:spacing w:after="0"/>
              <w:rPr>
                <w:sz w:val="1"/>
                <w:szCs w:val="1"/>
                <w:color w:val="auto"/>
              </w:rPr>
            </w:pPr>
          </w:p>
        </w:tc>
      </w:tr>
      <w:tr>
        <w:trPr>
          <w:trHeight w:val="209"/>
        </w:trPr>
        <w:tc>
          <w:tcPr>
            <w:tcW w:w="328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b w:val="1"/>
                <w:bCs w:val="1"/>
                <w:i w:val="1"/>
                <w:iCs w:val="1"/>
                <w:color w:val="auto"/>
              </w:rPr>
              <w:t>Funding source</w:t>
            </w:r>
          </w:p>
        </w:tc>
        <w:tc>
          <w:tcPr>
            <w:tcW w:w="180" w:type="dxa"/>
            <w:vAlign w:val="bottom"/>
            <w:tcBorders>
              <w:top w:val="single" w:sz="8" w:color="auto"/>
            </w:tcBorders>
            <w:shd w:val="clear" w:color="auto" w:fill="F3F3F3"/>
          </w:tcPr>
          <w:p>
            <w:pPr>
              <w:spacing w:after="0"/>
              <w:rPr>
                <w:sz w:val="18"/>
                <w:szCs w:val="18"/>
                <w:color w:val="auto"/>
              </w:rPr>
            </w:pPr>
          </w:p>
        </w:tc>
        <w:tc>
          <w:tcPr>
            <w:tcW w:w="134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160" w:type="dxa"/>
            <w:vAlign w:val="bottom"/>
            <w:tcBorders>
              <w:top w:val="single" w:sz="8" w:color="auto"/>
            </w:tcBorders>
            <w:shd w:val="clear" w:color="auto" w:fill="F3F3F3"/>
          </w:tcPr>
          <w:p>
            <w:pPr>
              <w:spacing w:after="0"/>
              <w:rPr>
                <w:sz w:val="18"/>
                <w:szCs w:val="18"/>
                <w:color w:val="auto"/>
              </w:rPr>
            </w:pPr>
          </w:p>
        </w:tc>
        <w:tc>
          <w:tcPr>
            <w:tcW w:w="1340" w:type="dxa"/>
            <w:vAlign w:val="bottom"/>
            <w:tcBorders>
              <w:top w:val="single" w:sz="8" w:color="auto"/>
            </w:tcBorders>
            <w:shd w:val="clear" w:color="auto" w:fill="F3F3F3"/>
          </w:tcPr>
          <w:p>
            <w:pPr>
              <w:spacing w:after="0"/>
              <w:rPr>
                <w:sz w:val="18"/>
                <w:szCs w:val="18"/>
                <w:color w:val="auto"/>
              </w:rPr>
            </w:pPr>
          </w:p>
        </w:tc>
        <w:tc>
          <w:tcPr>
            <w:tcW w:w="100" w:type="dxa"/>
            <w:vAlign w:val="bottom"/>
            <w:tcBorders>
              <w:top w:val="single" w:sz="8" w:color="F3F3F3"/>
            </w:tcBorders>
            <w:shd w:val="clear" w:color="auto" w:fill="F3F3F3"/>
          </w:tcPr>
          <w:p>
            <w:pPr>
              <w:spacing w:after="0"/>
              <w:rPr>
                <w:sz w:val="18"/>
                <w:szCs w:val="18"/>
                <w:color w:val="auto"/>
              </w:rPr>
            </w:pPr>
          </w:p>
        </w:tc>
        <w:tc>
          <w:tcPr>
            <w:tcW w:w="160" w:type="dxa"/>
            <w:vAlign w:val="bottom"/>
            <w:tcBorders>
              <w:top w:val="single" w:sz="8" w:color="auto"/>
            </w:tcBorders>
            <w:shd w:val="clear" w:color="auto" w:fill="F3F3F3"/>
          </w:tcPr>
          <w:p>
            <w:pPr>
              <w:spacing w:after="0"/>
              <w:rPr>
                <w:sz w:val="18"/>
                <w:szCs w:val="18"/>
                <w:color w:val="auto"/>
              </w:rPr>
            </w:pPr>
          </w:p>
        </w:tc>
        <w:tc>
          <w:tcPr>
            <w:tcW w:w="1360" w:type="dxa"/>
            <w:vAlign w:val="bottom"/>
            <w:tcBorders>
              <w:top w:val="single" w:sz="8" w:color="auto"/>
            </w:tcBorders>
            <w:shd w:val="clear" w:color="auto" w:fill="F3F3F3"/>
          </w:tcPr>
          <w:p>
            <w:pPr>
              <w:spacing w:after="0"/>
              <w:rPr>
                <w:sz w:val="18"/>
                <w:szCs w:val="18"/>
                <w:color w:val="auto"/>
              </w:rPr>
            </w:pPr>
          </w:p>
        </w:tc>
        <w:tc>
          <w:tcPr>
            <w:tcW w:w="80" w:type="dxa"/>
            <w:vAlign w:val="bottom"/>
            <w:tcBorders>
              <w:top w:val="single" w:sz="8" w:color="F3F3F3"/>
            </w:tcBorders>
            <w:shd w:val="clear" w:color="auto" w:fill="F3F3F3"/>
          </w:tcPr>
          <w:p>
            <w:pPr>
              <w:spacing w:after="0"/>
              <w:rPr>
                <w:sz w:val="18"/>
                <w:szCs w:val="18"/>
                <w:color w:val="auto"/>
              </w:rPr>
            </w:pPr>
          </w:p>
        </w:tc>
        <w:tc>
          <w:tcPr>
            <w:tcW w:w="160" w:type="dxa"/>
            <w:vAlign w:val="bottom"/>
            <w:tcBorders>
              <w:top w:val="single" w:sz="8" w:color="auto"/>
            </w:tcBorders>
            <w:shd w:val="clear" w:color="auto" w:fill="F3F3F3"/>
          </w:tcPr>
          <w:p>
            <w:pPr>
              <w:spacing w:after="0"/>
              <w:rPr>
                <w:sz w:val="18"/>
                <w:szCs w:val="18"/>
                <w:color w:val="auto"/>
              </w:rPr>
            </w:pPr>
          </w:p>
        </w:tc>
        <w:tc>
          <w:tcPr>
            <w:tcW w:w="1380" w:type="dxa"/>
            <w:vAlign w:val="bottom"/>
            <w:tcBorders>
              <w:top w:val="single" w:sz="8" w:color="auto"/>
            </w:tcBorders>
            <w:shd w:val="clear" w:color="auto" w:fill="F3F3F3"/>
          </w:tcPr>
          <w:p>
            <w:pPr>
              <w:spacing w:after="0"/>
              <w:rPr>
                <w:sz w:val="18"/>
                <w:szCs w:val="18"/>
                <w:color w:val="auto"/>
              </w:rPr>
            </w:pPr>
          </w:p>
        </w:tc>
        <w:tc>
          <w:tcPr>
            <w:tcW w:w="80" w:type="dxa"/>
            <w:vAlign w:val="bottom"/>
            <w:tcBorders>
              <w:top w:val="single" w:sz="8" w:color="F3F3F3"/>
            </w:tcBorders>
            <w:shd w:val="clear" w:color="auto" w:fill="F3F3F3"/>
          </w:tcPr>
          <w:p>
            <w:pPr>
              <w:spacing w:after="0"/>
              <w:rPr>
                <w:sz w:val="18"/>
                <w:szCs w:val="18"/>
                <w:color w:val="auto"/>
              </w:rPr>
            </w:pPr>
          </w:p>
        </w:tc>
        <w:tc>
          <w:tcPr>
            <w:tcW w:w="180" w:type="dxa"/>
            <w:vAlign w:val="bottom"/>
            <w:tcBorders>
              <w:top w:val="single" w:sz="8" w:color="auto"/>
            </w:tcBorders>
            <w:shd w:val="clear" w:color="auto" w:fill="F3F3F3"/>
          </w:tcPr>
          <w:p>
            <w:pPr>
              <w:spacing w:after="0"/>
              <w:rPr>
                <w:sz w:val="18"/>
                <w:szCs w:val="18"/>
                <w:color w:val="auto"/>
              </w:rPr>
            </w:pPr>
          </w:p>
        </w:tc>
        <w:tc>
          <w:tcPr>
            <w:tcW w:w="1340" w:type="dxa"/>
            <w:vAlign w:val="bottom"/>
            <w:tcBorders>
              <w:top w:val="single" w:sz="8" w:color="auto"/>
            </w:tcBorders>
            <w:shd w:val="clear" w:color="auto" w:fill="F3F3F3"/>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7"/>
                <w:szCs w:val="17"/>
                <w:color w:val="auto"/>
              </w:rPr>
              <w:t>Pershing clearing arrangement</w:t>
            </w:r>
          </w:p>
        </w:tc>
        <w:tc>
          <w:tcPr>
            <w:tcW w:w="1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4.7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80.9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67"/>
        </w:trPr>
        <w:tc>
          <w:tcPr>
            <w:tcW w:w="3280" w:type="dxa"/>
            <w:vAlign w:val="bottom"/>
            <w:shd w:val="clear" w:color="auto" w:fill="F3F3F3"/>
          </w:tcPr>
          <w:p>
            <w:pPr>
              <w:ind w:left="140"/>
              <w:spacing w:after="0" w:line="167" w:lineRule="exact"/>
              <w:rPr>
                <w:sz w:val="20"/>
                <w:szCs w:val="20"/>
                <w:color w:val="auto"/>
              </w:rPr>
            </w:pPr>
            <w:r>
              <w:rPr>
                <w:rFonts w:ascii="Arial" w:cs="Arial" w:eastAsia="Arial" w:hAnsi="Arial"/>
                <w:sz w:val="17"/>
                <w:szCs w:val="17"/>
                <w:color w:val="auto"/>
              </w:rPr>
              <w:t>Clearing arrangement with bank</w:t>
            </w:r>
          </w:p>
        </w:tc>
        <w:tc>
          <w:tcPr>
            <w:tcW w:w="180" w:type="dxa"/>
            <w:vAlign w:val="bottom"/>
            <w:shd w:val="clear" w:color="auto" w:fill="F3F3F3"/>
          </w:tcPr>
          <w:p>
            <w:pPr>
              <w:spacing w:after="0"/>
              <w:rPr>
                <w:sz w:val="14"/>
                <w:szCs w:val="14"/>
                <w:color w:val="auto"/>
              </w:rPr>
            </w:pPr>
          </w:p>
        </w:tc>
        <w:tc>
          <w:tcPr>
            <w:tcW w:w="1340" w:type="dxa"/>
            <w:vAlign w:val="bottom"/>
            <w:vMerge w:val="restart"/>
            <w:shd w:val="clear" w:color="auto" w:fill="F3F3F3"/>
          </w:tcPr>
          <w:p>
            <w:pPr>
              <w:jc w:val="right"/>
              <w:spacing w:after="0"/>
              <w:rPr>
                <w:sz w:val="20"/>
                <w:szCs w:val="20"/>
                <w:color w:val="auto"/>
              </w:rPr>
            </w:pPr>
            <w:r>
              <w:rPr>
                <w:rFonts w:ascii="Arial" w:cs="Arial" w:eastAsia="Arial" w:hAnsi="Arial"/>
                <w:sz w:val="17"/>
                <w:szCs w:val="17"/>
                <w:b w:val="1"/>
                <w:bCs w:val="1"/>
                <w:color w:val="auto"/>
              </w:rPr>
              <w:t>34.5</w:t>
            </w:r>
          </w:p>
        </w:tc>
        <w:tc>
          <w:tcPr>
            <w:tcW w:w="100" w:type="dxa"/>
            <w:vAlign w:val="bottom"/>
            <w:shd w:val="clear" w:color="auto" w:fill="F3F3F3"/>
          </w:tcPr>
          <w:p>
            <w:pPr>
              <w:spacing w:after="0"/>
              <w:rPr>
                <w:sz w:val="14"/>
                <w:szCs w:val="14"/>
                <w:color w:val="auto"/>
              </w:rPr>
            </w:pPr>
          </w:p>
        </w:tc>
        <w:tc>
          <w:tcPr>
            <w:tcW w:w="160" w:type="dxa"/>
            <w:vAlign w:val="bottom"/>
            <w:shd w:val="clear" w:color="auto" w:fill="F3F3F3"/>
          </w:tcPr>
          <w:p>
            <w:pPr>
              <w:spacing w:after="0"/>
              <w:rPr>
                <w:sz w:val="14"/>
                <w:szCs w:val="14"/>
                <w:color w:val="auto"/>
              </w:rPr>
            </w:pPr>
          </w:p>
        </w:tc>
        <w:tc>
          <w:tcPr>
            <w:tcW w:w="1340" w:type="dxa"/>
            <w:vAlign w:val="bottom"/>
            <w:vMerge w:val="restart"/>
            <w:shd w:val="clear" w:color="auto" w:fill="F3F3F3"/>
          </w:tcPr>
          <w:p>
            <w:pPr>
              <w:jc w:val="right"/>
              <w:spacing w:after="0"/>
              <w:rPr>
                <w:sz w:val="20"/>
                <w:szCs w:val="20"/>
                <w:color w:val="auto"/>
              </w:rPr>
            </w:pPr>
            <w:r>
              <w:rPr>
                <w:rFonts w:ascii="Arial" w:cs="Arial" w:eastAsia="Arial" w:hAnsi="Arial"/>
                <w:sz w:val="17"/>
                <w:szCs w:val="17"/>
                <w:color w:val="auto"/>
              </w:rPr>
              <w:t>58.4</w:t>
            </w:r>
          </w:p>
        </w:tc>
        <w:tc>
          <w:tcPr>
            <w:tcW w:w="100" w:type="dxa"/>
            <w:vAlign w:val="bottom"/>
            <w:shd w:val="clear" w:color="auto" w:fill="F3F3F3"/>
          </w:tcPr>
          <w:p>
            <w:pPr>
              <w:spacing w:after="0"/>
              <w:rPr>
                <w:sz w:val="14"/>
                <w:szCs w:val="14"/>
                <w:color w:val="auto"/>
              </w:rPr>
            </w:pPr>
          </w:p>
        </w:tc>
        <w:tc>
          <w:tcPr>
            <w:tcW w:w="160" w:type="dxa"/>
            <w:vAlign w:val="bottom"/>
            <w:shd w:val="clear" w:color="auto" w:fill="F3F3F3"/>
          </w:tcPr>
          <w:p>
            <w:pPr>
              <w:spacing w:after="0"/>
              <w:rPr>
                <w:sz w:val="14"/>
                <w:szCs w:val="14"/>
                <w:color w:val="auto"/>
              </w:rPr>
            </w:pPr>
          </w:p>
        </w:tc>
        <w:tc>
          <w:tcPr>
            <w:tcW w:w="1360" w:type="dxa"/>
            <w:vAlign w:val="bottom"/>
            <w:vMerge w:val="restart"/>
            <w:shd w:val="clear" w:color="auto" w:fill="F3F3F3"/>
          </w:tcPr>
          <w:p>
            <w:pPr>
              <w:jc w:val="right"/>
              <w:spacing w:after="0"/>
              <w:rPr>
                <w:sz w:val="20"/>
                <w:szCs w:val="20"/>
                <w:color w:val="auto"/>
              </w:rPr>
            </w:pPr>
            <w:r>
              <w:rPr>
                <w:rFonts w:ascii="Arial" w:cs="Arial" w:eastAsia="Arial" w:hAnsi="Arial"/>
                <w:sz w:val="17"/>
                <w:szCs w:val="17"/>
                <w:color w:val="auto"/>
              </w:rPr>
              <w:t>46.9</w:t>
            </w:r>
          </w:p>
        </w:tc>
        <w:tc>
          <w:tcPr>
            <w:tcW w:w="80" w:type="dxa"/>
            <w:vAlign w:val="bottom"/>
            <w:shd w:val="clear" w:color="auto" w:fill="F3F3F3"/>
          </w:tcPr>
          <w:p>
            <w:pPr>
              <w:spacing w:after="0"/>
              <w:rPr>
                <w:sz w:val="14"/>
                <w:szCs w:val="14"/>
                <w:color w:val="auto"/>
              </w:rPr>
            </w:pPr>
          </w:p>
        </w:tc>
        <w:tc>
          <w:tcPr>
            <w:tcW w:w="160" w:type="dxa"/>
            <w:vAlign w:val="bottom"/>
            <w:shd w:val="clear" w:color="auto" w:fill="F3F3F3"/>
          </w:tcPr>
          <w:p>
            <w:pPr>
              <w:spacing w:after="0"/>
              <w:rPr>
                <w:sz w:val="14"/>
                <w:szCs w:val="14"/>
                <w:color w:val="auto"/>
              </w:rPr>
            </w:pPr>
          </w:p>
        </w:tc>
        <w:tc>
          <w:tcPr>
            <w:tcW w:w="1380" w:type="dxa"/>
            <w:vAlign w:val="bottom"/>
            <w:vMerge w:val="restart"/>
            <w:shd w:val="clear" w:color="auto" w:fill="F3F3F3"/>
          </w:tcPr>
          <w:p>
            <w:pPr>
              <w:jc w:val="right"/>
              <w:spacing w:after="0"/>
              <w:rPr>
                <w:sz w:val="20"/>
                <w:szCs w:val="20"/>
                <w:color w:val="auto"/>
              </w:rPr>
            </w:pPr>
            <w:r>
              <w:rPr>
                <w:rFonts w:ascii="Arial" w:cs="Arial" w:eastAsia="Arial" w:hAnsi="Arial"/>
                <w:sz w:val="17"/>
                <w:szCs w:val="17"/>
                <w:color w:val="auto"/>
              </w:rPr>
              <w:t>57.9</w:t>
            </w:r>
          </w:p>
        </w:tc>
        <w:tc>
          <w:tcPr>
            <w:tcW w:w="80" w:type="dxa"/>
            <w:vAlign w:val="bottom"/>
            <w:shd w:val="clear" w:color="auto" w:fill="F3F3F3"/>
          </w:tcPr>
          <w:p>
            <w:pPr>
              <w:spacing w:after="0"/>
              <w:rPr>
                <w:sz w:val="14"/>
                <w:szCs w:val="14"/>
                <w:color w:val="auto"/>
              </w:rPr>
            </w:pPr>
          </w:p>
        </w:tc>
        <w:tc>
          <w:tcPr>
            <w:tcW w:w="180" w:type="dxa"/>
            <w:vAlign w:val="bottom"/>
            <w:shd w:val="clear" w:color="auto" w:fill="F3F3F3"/>
          </w:tcPr>
          <w:p>
            <w:pPr>
              <w:spacing w:after="0"/>
              <w:rPr>
                <w:sz w:val="14"/>
                <w:szCs w:val="14"/>
                <w:color w:val="auto"/>
              </w:rPr>
            </w:pPr>
          </w:p>
        </w:tc>
        <w:tc>
          <w:tcPr>
            <w:tcW w:w="1340" w:type="dxa"/>
            <w:vAlign w:val="bottom"/>
            <w:vMerge w:val="restart"/>
            <w:shd w:val="clear" w:color="auto" w:fill="F3F3F3"/>
          </w:tcPr>
          <w:p>
            <w:pPr>
              <w:jc w:val="right"/>
              <w:spacing w:after="0"/>
              <w:rPr>
                <w:sz w:val="20"/>
                <w:szCs w:val="20"/>
                <w:color w:val="auto"/>
              </w:rPr>
            </w:pPr>
            <w:r>
              <w:rPr>
                <w:rFonts w:ascii="Arial" w:cs="Arial" w:eastAsia="Arial" w:hAnsi="Arial"/>
                <w:sz w:val="17"/>
                <w:szCs w:val="17"/>
                <w:color w:val="auto"/>
              </w:rPr>
              <w:t>51.9</w:t>
            </w:r>
          </w:p>
        </w:tc>
        <w:tc>
          <w:tcPr>
            <w:tcW w:w="0" w:type="dxa"/>
            <w:vAlign w:val="bottom"/>
          </w:tcPr>
          <w:p>
            <w:pPr>
              <w:spacing w:after="0"/>
              <w:rPr>
                <w:sz w:val="1"/>
                <w:szCs w:val="1"/>
                <w:color w:val="auto"/>
              </w:rPr>
            </w:pPr>
          </w:p>
        </w:tc>
      </w:tr>
      <w:tr>
        <w:trPr>
          <w:trHeight w:val="225"/>
        </w:trPr>
        <w:tc>
          <w:tcPr>
            <w:tcW w:w="3280" w:type="dxa"/>
            <w:vAlign w:val="bottom"/>
            <w:shd w:val="clear" w:color="auto" w:fill="F3F3F3"/>
          </w:tcPr>
          <w:p>
            <w:pPr>
              <w:ind w:left="220"/>
              <w:spacing w:after="0"/>
              <w:rPr>
                <w:sz w:val="20"/>
                <w:szCs w:val="20"/>
                <w:color w:val="auto"/>
              </w:rPr>
            </w:pPr>
            <w:r>
              <w:rPr>
                <w:rFonts w:ascii="Arial" w:cs="Arial" w:eastAsia="Arial" w:hAnsi="Arial"/>
                <w:sz w:val="17"/>
                <w:szCs w:val="17"/>
                <w:color w:val="auto"/>
              </w:rPr>
              <w:t>financing</w:t>
            </w:r>
          </w:p>
        </w:tc>
        <w:tc>
          <w:tcPr>
            <w:tcW w:w="180" w:type="dxa"/>
            <w:vAlign w:val="bottom"/>
            <w:shd w:val="clear" w:color="auto" w:fill="F3F3F3"/>
          </w:tcPr>
          <w:p>
            <w:pPr>
              <w:spacing w:after="0"/>
              <w:rPr>
                <w:sz w:val="19"/>
                <w:szCs w:val="19"/>
                <w:color w:val="auto"/>
              </w:rPr>
            </w:pPr>
          </w:p>
        </w:tc>
        <w:tc>
          <w:tcPr>
            <w:tcW w:w="1340" w:type="dxa"/>
            <w:vAlign w:val="bottom"/>
            <w:vMerge w:val="continue"/>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60" w:type="dxa"/>
            <w:vAlign w:val="bottom"/>
            <w:shd w:val="clear" w:color="auto" w:fill="F3F3F3"/>
          </w:tcPr>
          <w:p>
            <w:pPr>
              <w:spacing w:after="0"/>
              <w:rPr>
                <w:sz w:val="19"/>
                <w:szCs w:val="19"/>
                <w:color w:val="auto"/>
              </w:rPr>
            </w:pPr>
          </w:p>
        </w:tc>
        <w:tc>
          <w:tcPr>
            <w:tcW w:w="1340" w:type="dxa"/>
            <w:vAlign w:val="bottom"/>
            <w:vMerge w:val="continue"/>
            <w:shd w:val="clear" w:color="auto" w:fill="F3F3F3"/>
          </w:tcPr>
          <w:p>
            <w:pPr>
              <w:spacing w:after="0"/>
              <w:rPr>
                <w:sz w:val="19"/>
                <w:szCs w:val="19"/>
                <w:color w:val="auto"/>
              </w:rPr>
            </w:pPr>
          </w:p>
        </w:tc>
        <w:tc>
          <w:tcPr>
            <w:tcW w:w="100" w:type="dxa"/>
            <w:vAlign w:val="bottom"/>
            <w:shd w:val="clear" w:color="auto" w:fill="F3F3F3"/>
          </w:tcPr>
          <w:p>
            <w:pPr>
              <w:spacing w:after="0"/>
              <w:rPr>
                <w:sz w:val="19"/>
                <w:szCs w:val="19"/>
                <w:color w:val="auto"/>
              </w:rPr>
            </w:pPr>
          </w:p>
        </w:tc>
        <w:tc>
          <w:tcPr>
            <w:tcW w:w="160" w:type="dxa"/>
            <w:vAlign w:val="bottom"/>
            <w:shd w:val="clear" w:color="auto" w:fill="F3F3F3"/>
          </w:tcPr>
          <w:p>
            <w:pPr>
              <w:spacing w:after="0"/>
              <w:rPr>
                <w:sz w:val="19"/>
                <w:szCs w:val="19"/>
                <w:color w:val="auto"/>
              </w:rPr>
            </w:pPr>
          </w:p>
        </w:tc>
        <w:tc>
          <w:tcPr>
            <w:tcW w:w="1360" w:type="dxa"/>
            <w:vAlign w:val="bottom"/>
            <w:vMerge w:val="continue"/>
            <w:shd w:val="clear" w:color="auto" w:fill="F3F3F3"/>
          </w:tcPr>
          <w:p>
            <w:pPr>
              <w:spacing w:after="0"/>
              <w:rPr>
                <w:sz w:val="19"/>
                <w:szCs w:val="19"/>
                <w:color w:val="auto"/>
              </w:rPr>
            </w:pPr>
          </w:p>
        </w:tc>
        <w:tc>
          <w:tcPr>
            <w:tcW w:w="80" w:type="dxa"/>
            <w:vAlign w:val="bottom"/>
            <w:shd w:val="clear" w:color="auto" w:fill="F3F3F3"/>
          </w:tcPr>
          <w:p>
            <w:pPr>
              <w:spacing w:after="0"/>
              <w:rPr>
                <w:sz w:val="19"/>
                <w:szCs w:val="19"/>
                <w:color w:val="auto"/>
              </w:rPr>
            </w:pPr>
          </w:p>
        </w:tc>
        <w:tc>
          <w:tcPr>
            <w:tcW w:w="160" w:type="dxa"/>
            <w:vAlign w:val="bottom"/>
            <w:shd w:val="clear" w:color="auto" w:fill="F3F3F3"/>
          </w:tcPr>
          <w:p>
            <w:pPr>
              <w:spacing w:after="0"/>
              <w:rPr>
                <w:sz w:val="19"/>
                <w:szCs w:val="19"/>
                <w:color w:val="auto"/>
              </w:rPr>
            </w:pPr>
          </w:p>
        </w:tc>
        <w:tc>
          <w:tcPr>
            <w:tcW w:w="1380" w:type="dxa"/>
            <w:vAlign w:val="bottom"/>
            <w:vMerge w:val="continue"/>
            <w:shd w:val="clear" w:color="auto" w:fill="F3F3F3"/>
          </w:tcPr>
          <w:p>
            <w:pPr>
              <w:spacing w:after="0"/>
              <w:rPr>
                <w:sz w:val="19"/>
                <w:szCs w:val="19"/>
                <w:color w:val="auto"/>
              </w:rPr>
            </w:pPr>
          </w:p>
        </w:tc>
        <w:tc>
          <w:tcPr>
            <w:tcW w:w="80" w:type="dxa"/>
            <w:vAlign w:val="bottom"/>
            <w:shd w:val="clear" w:color="auto" w:fill="F3F3F3"/>
          </w:tcPr>
          <w:p>
            <w:pPr>
              <w:spacing w:after="0"/>
              <w:rPr>
                <w:sz w:val="19"/>
                <w:szCs w:val="19"/>
                <w:color w:val="auto"/>
              </w:rPr>
            </w:pPr>
          </w:p>
        </w:tc>
        <w:tc>
          <w:tcPr>
            <w:tcW w:w="180" w:type="dxa"/>
            <w:vAlign w:val="bottom"/>
            <w:shd w:val="clear" w:color="auto" w:fill="F3F3F3"/>
          </w:tcPr>
          <w:p>
            <w:pPr>
              <w:spacing w:after="0"/>
              <w:rPr>
                <w:sz w:val="19"/>
                <w:szCs w:val="19"/>
                <w:color w:val="auto"/>
              </w:rPr>
            </w:pPr>
          </w:p>
        </w:tc>
        <w:tc>
          <w:tcPr>
            <w:tcW w:w="1340" w:type="dxa"/>
            <w:vAlign w:val="bottom"/>
            <w:vMerge w:val="continue"/>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140"/>
              <w:spacing w:after="0"/>
              <w:rPr>
                <w:sz w:val="20"/>
                <w:szCs w:val="20"/>
                <w:color w:val="auto"/>
              </w:rPr>
            </w:pPr>
            <w:r>
              <w:rPr>
                <w:rFonts w:ascii="Arial" w:cs="Arial" w:eastAsia="Arial" w:hAnsi="Arial"/>
                <w:sz w:val="17"/>
                <w:szCs w:val="17"/>
                <w:color w:val="auto"/>
              </w:rPr>
              <w:t>Unsecured revolving credit facility</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b w:val="1"/>
                <w:bCs w:val="1"/>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9"/>
        </w:trPr>
        <w:tc>
          <w:tcPr>
            <w:tcW w:w="3280" w:type="dxa"/>
            <w:vAlign w:val="bottom"/>
            <w:shd w:val="clear" w:color="auto" w:fill="F3F3F3"/>
          </w:tcPr>
          <w:p>
            <w:pPr>
              <w:ind w:left="140"/>
              <w:spacing w:after="0"/>
              <w:rPr>
                <w:sz w:val="20"/>
                <w:szCs w:val="20"/>
                <w:color w:val="auto"/>
              </w:rPr>
            </w:pPr>
            <w:r>
              <w:rPr>
                <w:rFonts w:ascii="Arial" w:cs="Arial" w:eastAsia="Arial" w:hAnsi="Arial"/>
                <w:sz w:val="17"/>
                <w:szCs w:val="17"/>
                <w:color w:val="auto"/>
              </w:rPr>
              <w:t>Secured revolving credit facility</w:t>
            </w:r>
          </w:p>
        </w:tc>
        <w:tc>
          <w:tcPr>
            <w:tcW w:w="18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b w:val="1"/>
                <w:bCs w:val="1"/>
                <w:color w:val="auto"/>
              </w:rPr>
              <w:t>5.0</w:t>
            </w:r>
          </w:p>
        </w:tc>
        <w:tc>
          <w:tcPr>
            <w:tcW w:w="100" w:type="dxa"/>
            <w:vAlign w:val="bottom"/>
            <w:shd w:val="clear" w:color="auto" w:fill="F3F3F3"/>
          </w:tcPr>
          <w:p>
            <w:pPr>
              <w:spacing w:after="0"/>
              <w:rPr>
                <w:sz w:val="19"/>
                <w:szCs w:val="19"/>
                <w:color w:val="auto"/>
              </w:rPr>
            </w:pPr>
          </w:p>
        </w:tc>
        <w:tc>
          <w:tcPr>
            <w:tcW w:w="16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F3F3F3"/>
          </w:tcPr>
          <w:p>
            <w:pPr>
              <w:spacing w:after="0"/>
              <w:rPr>
                <w:sz w:val="19"/>
                <w:szCs w:val="19"/>
                <w:color w:val="auto"/>
              </w:rPr>
            </w:pPr>
          </w:p>
        </w:tc>
        <w:tc>
          <w:tcPr>
            <w:tcW w:w="160" w:type="dxa"/>
            <w:vAlign w:val="bottom"/>
            <w:tcBorders>
              <w:bottom w:val="single" w:sz="8" w:color="auto"/>
            </w:tcBorders>
            <w:shd w:val="clear" w:color="auto" w:fill="F3F3F3"/>
          </w:tcPr>
          <w:p>
            <w:pPr>
              <w:spacing w:after="0"/>
              <w:rPr>
                <w:sz w:val="19"/>
                <w:szCs w:val="19"/>
                <w:color w:val="auto"/>
              </w:rPr>
            </w:pPr>
          </w:p>
        </w:tc>
        <w:tc>
          <w:tcPr>
            <w:tcW w:w="13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5.0</w:t>
            </w:r>
          </w:p>
        </w:tc>
        <w:tc>
          <w:tcPr>
            <w:tcW w:w="80" w:type="dxa"/>
            <w:vAlign w:val="bottom"/>
            <w:shd w:val="clear" w:color="auto" w:fill="F3F3F3"/>
          </w:tcPr>
          <w:p>
            <w:pPr>
              <w:spacing w:after="0"/>
              <w:rPr>
                <w:sz w:val="19"/>
                <w:szCs w:val="19"/>
                <w:color w:val="auto"/>
              </w:rPr>
            </w:pPr>
          </w:p>
        </w:tc>
        <w:tc>
          <w:tcPr>
            <w:tcW w:w="160" w:type="dxa"/>
            <w:vAlign w:val="bottom"/>
            <w:tcBorders>
              <w:bottom w:val="single" w:sz="8" w:color="auto"/>
            </w:tcBorders>
            <w:shd w:val="clear" w:color="auto" w:fill="F3F3F3"/>
          </w:tcPr>
          <w:p>
            <w:pPr>
              <w:spacing w:after="0"/>
              <w:rPr>
                <w:sz w:val="19"/>
                <w:szCs w:val="19"/>
                <w:color w:val="auto"/>
              </w:rPr>
            </w:pPr>
          </w:p>
        </w:tc>
        <w:tc>
          <w:tcPr>
            <w:tcW w:w="138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5.0</w:t>
            </w:r>
          </w:p>
        </w:tc>
        <w:tc>
          <w:tcPr>
            <w:tcW w:w="80" w:type="dxa"/>
            <w:vAlign w:val="bottom"/>
            <w:shd w:val="clear" w:color="auto" w:fill="F3F3F3"/>
          </w:tcPr>
          <w:p>
            <w:pPr>
              <w:spacing w:after="0"/>
              <w:rPr>
                <w:sz w:val="19"/>
                <w:szCs w:val="19"/>
                <w:color w:val="auto"/>
              </w:rPr>
            </w:pPr>
          </w:p>
        </w:tc>
        <w:tc>
          <w:tcPr>
            <w:tcW w:w="180" w:type="dxa"/>
            <w:vAlign w:val="bottom"/>
            <w:tcBorders>
              <w:bottom w:val="single" w:sz="8" w:color="auto"/>
            </w:tcBorders>
            <w:shd w:val="clear" w:color="auto" w:fill="F3F3F3"/>
          </w:tcPr>
          <w:p>
            <w:pPr>
              <w:spacing w:after="0"/>
              <w:rPr>
                <w:sz w:val="19"/>
                <w:szCs w:val="19"/>
                <w:color w:val="auto"/>
              </w:rPr>
            </w:pPr>
          </w:p>
        </w:tc>
        <w:tc>
          <w:tcPr>
            <w:tcW w:w="134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23"/>
        </w:trPr>
        <w:tc>
          <w:tcPr>
            <w:tcW w:w="3280" w:type="dxa"/>
            <w:vAlign w:val="bottom"/>
          </w:tcPr>
          <w:p>
            <w:pPr>
              <w:ind w:left="20"/>
              <w:spacing w:after="0"/>
              <w:rPr>
                <w:sz w:val="20"/>
                <w:szCs w:val="20"/>
                <w:color w:val="auto"/>
              </w:rPr>
            </w:pPr>
            <w:r>
              <w:rPr>
                <w:rFonts w:ascii="Arial" w:cs="Arial" w:eastAsia="Arial" w:hAnsi="Arial"/>
                <w:sz w:val="17"/>
                <w:szCs w:val="17"/>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54.2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67.2</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153.8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average funding in the first quarter of 2026 decreased to $54.2 million, compared with $83.7 million during the fourth quarter of 2025 and $72.8 million during the first quarter of 2025, primarily due to a decrease in borrowings on our clearing arrangement with bank financing.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maximum daily funding amount by quarter for 2026 and 2025:</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60" w:type="dxa"/>
            <w:vAlign w:val="bottom"/>
            <w:tcBorders>
              <w:bottom w:val="single" w:sz="8" w:color="F3F3F3"/>
            </w:tcBorders>
          </w:tcPr>
          <w:p>
            <w:pPr>
              <w:ind w:left="20"/>
              <w:spacing w:after="0"/>
              <w:rPr>
                <w:sz w:val="20"/>
                <w:szCs w:val="20"/>
                <w:color w:val="auto"/>
              </w:rPr>
            </w:pPr>
            <w:r>
              <w:rPr>
                <w:rFonts w:ascii="Arial" w:cs="Arial" w:eastAsia="Arial" w:hAnsi="Arial"/>
                <w:sz w:val="15"/>
                <w:szCs w:val="15"/>
                <w:i w:val="1"/>
                <w:iCs w:val="1"/>
                <w:color w:val="auto"/>
              </w:rPr>
              <w:t>(Amounts in millions)</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2026</w:t>
            </w:r>
          </w:p>
        </w:tc>
        <w:tc>
          <w:tcPr>
            <w:tcW w:w="80" w:type="dxa"/>
            <w:vAlign w:val="bottom"/>
            <w:tcBorders>
              <w:bottom w:val="single" w:sz="8" w:color="F3F3F3"/>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2025</w:t>
            </w:r>
          </w:p>
        </w:tc>
      </w:tr>
      <w:tr>
        <w:trPr>
          <w:trHeight w:val="225"/>
        </w:trPr>
        <w:tc>
          <w:tcPr>
            <w:tcW w:w="7960" w:type="dxa"/>
            <w:vAlign w:val="bottom"/>
            <w:shd w:val="clear" w:color="auto" w:fill="F3F3F3"/>
          </w:tcPr>
          <w:p>
            <w:pPr>
              <w:ind w:left="20"/>
              <w:spacing w:after="0"/>
              <w:rPr>
                <w:sz w:val="20"/>
                <w:szCs w:val="20"/>
                <w:color w:val="auto"/>
              </w:rPr>
            </w:pPr>
            <w:r>
              <w:rPr>
                <w:rFonts w:ascii="Arial" w:cs="Arial" w:eastAsia="Arial" w:hAnsi="Arial"/>
                <w:sz w:val="17"/>
                <w:szCs w:val="17"/>
                <w:color w:val="auto"/>
              </w:rPr>
              <w:t>First Quarter</w:t>
            </w:r>
          </w:p>
        </w:tc>
        <w:tc>
          <w:tcPr>
            <w:tcW w:w="360" w:type="dxa"/>
            <w:vAlign w:val="bottom"/>
            <w:shd w:val="clear" w:color="auto" w:fill="F3F3F3"/>
          </w:tcPr>
          <w:p>
            <w:pPr>
              <w:jc w:val="right"/>
              <w:ind w:right="155"/>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b w:val="1"/>
                <w:bCs w:val="1"/>
                <w:color w:val="auto"/>
              </w:rPr>
              <w:t>211.7</w:t>
            </w:r>
          </w:p>
        </w:tc>
        <w:tc>
          <w:tcPr>
            <w:tcW w:w="80" w:type="dxa"/>
            <w:vAlign w:val="bottom"/>
            <w:shd w:val="clear" w:color="auto" w:fill="F3F3F3"/>
          </w:tcPr>
          <w:p>
            <w:pPr>
              <w:spacing w:after="0"/>
              <w:rPr>
                <w:sz w:val="19"/>
                <w:szCs w:val="19"/>
                <w:color w:val="auto"/>
              </w:rPr>
            </w:pPr>
          </w:p>
        </w:tc>
        <w:tc>
          <w:tcPr>
            <w:tcW w:w="360" w:type="dxa"/>
            <w:vAlign w:val="bottom"/>
            <w:shd w:val="clear" w:color="auto" w:fill="F3F3F3"/>
          </w:tcPr>
          <w:p>
            <w:pPr>
              <w:jc w:val="right"/>
              <w:ind w:right="155"/>
              <w:spacing w:after="0"/>
              <w:rPr>
                <w:sz w:val="20"/>
                <w:szCs w:val="20"/>
                <w:color w:val="auto"/>
              </w:rPr>
            </w:pPr>
            <w:r>
              <w:rPr>
                <w:rFonts w:ascii="Arial" w:cs="Arial" w:eastAsia="Arial" w:hAnsi="Arial"/>
                <w:sz w:val="17"/>
                <w:szCs w:val="17"/>
                <w:color w:val="auto"/>
              </w:rPr>
              <w:t>$</w:t>
            </w: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574.2</w:t>
            </w:r>
          </w:p>
        </w:tc>
      </w:tr>
      <w:tr>
        <w:trPr>
          <w:trHeight w:val="227"/>
        </w:trPr>
        <w:tc>
          <w:tcPr>
            <w:tcW w:w="7960" w:type="dxa"/>
            <w:vAlign w:val="bottom"/>
          </w:tcPr>
          <w:p>
            <w:pPr>
              <w:ind w:left="20"/>
              <w:spacing w:after="0"/>
              <w:rPr>
                <w:sz w:val="20"/>
                <w:szCs w:val="20"/>
                <w:color w:val="auto"/>
              </w:rPr>
            </w:pPr>
            <w:r>
              <w:rPr>
                <w:rFonts w:ascii="Arial" w:cs="Arial" w:eastAsia="Arial" w:hAnsi="Arial"/>
                <w:sz w:val="17"/>
                <w:szCs w:val="17"/>
                <w:color w:val="auto"/>
              </w:rPr>
              <w:t>Second Quarter</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615.5</w:t>
            </w:r>
          </w:p>
        </w:tc>
      </w:tr>
      <w:tr>
        <w:trPr>
          <w:trHeight w:val="232"/>
        </w:trPr>
        <w:tc>
          <w:tcPr>
            <w:tcW w:w="7960" w:type="dxa"/>
            <w:vAlign w:val="bottom"/>
            <w:shd w:val="clear" w:color="auto" w:fill="F3F3F3"/>
          </w:tcPr>
          <w:p>
            <w:pPr>
              <w:ind w:left="20"/>
              <w:spacing w:after="0"/>
              <w:rPr>
                <w:sz w:val="20"/>
                <w:szCs w:val="20"/>
                <w:color w:val="auto"/>
              </w:rPr>
            </w:pPr>
            <w:r>
              <w:rPr>
                <w:rFonts w:ascii="Arial" w:cs="Arial" w:eastAsia="Arial" w:hAnsi="Arial"/>
                <w:sz w:val="17"/>
                <w:szCs w:val="17"/>
                <w:color w:val="auto"/>
              </w:rPr>
              <w:t>Third Quarter</w:t>
            </w:r>
          </w:p>
        </w:tc>
        <w:tc>
          <w:tcPr>
            <w:tcW w:w="360" w:type="dxa"/>
            <w:vAlign w:val="bottom"/>
            <w:shd w:val="clear" w:color="auto" w:fill="F3F3F3"/>
          </w:tcPr>
          <w:p>
            <w:pPr>
              <w:spacing w:after="0"/>
              <w:rPr>
                <w:sz w:val="20"/>
                <w:szCs w:val="20"/>
                <w:color w:val="auto"/>
              </w:rPr>
            </w:pPr>
          </w:p>
        </w:tc>
        <w:tc>
          <w:tcPr>
            <w:tcW w:w="1240" w:type="dxa"/>
            <w:vAlign w:val="bottom"/>
            <w:shd w:val="clear" w:color="auto" w:fill="F3F3F3"/>
          </w:tcPr>
          <w:p>
            <w:pPr>
              <w:spacing w:after="0"/>
              <w:rPr>
                <w:sz w:val="20"/>
                <w:szCs w:val="20"/>
                <w:color w:val="auto"/>
              </w:rPr>
            </w:pPr>
          </w:p>
        </w:tc>
        <w:tc>
          <w:tcPr>
            <w:tcW w:w="80" w:type="dxa"/>
            <w:vAlign w:val="bottom"/>
            <w:shd w:val="clear" w:color="auto" w:fill="F3F3F3"/>
          </w:tcPr>
          <w:p>
            <w:pPr>
              <w:spacing w:after="0"/>
              <w:rPr>
                <w:sz w:val="20"/>
                <w:szCs w:val="20"/>
                <w:color w:val="auto"/>
              </w:rPr>
            </w:pPr>
          </w:p>
        </w:tc>
        <w:tc>
          <w:tcPr>
            <w:tcW w:w="360" w:type="dxa"/>
            <w:vAlign w:val="bottom"/>
            <w:shd w:val="clear" w:color="auto" w:fill="F3F3F3"/>
          </w:tcPr>
          <w:p>
            <w:pPr>
              <w:spacing w:after="0"/>
              <w:rPr>
                <w:sz w:val="20"/>
                <w:szCs w:val="20"/>
                <w:color w:val="auto"/>
              </w:rPr>
            </w:pPr>
          </w:p>
        </w:tc>
        <w:tc>
          <w:tcPr>
            <w:tcW w:w="1240" w:type="dxa"/>
            <w:vAlign w:val="bottom"/>
            <w:shd w:val="clear" w:color="auto" w:fill="F3F3F3"/>
          </w:tcPr>
          <w:p>
            <w:pPr>
              <w:jc w:val="right"/>
              <w:spacing w:after="0"/>
              <w:rPr>
                <w:sz w:val="20"/>
                <w:szCs w:val="20"/>
                <w:color w:val="auto"/>
              </w:rPr>
            </w:pPr>
            <w:r>
              <w:rPr>
                <w:rFonts w:ascii="Arial" w:cs="Arial" w:eastAsia="Arial" w:hAnsi="Arial"/>
                <w:sz w:val="17"/>
                <w:szCs w:val="17"/>
                <w:color w:val="auto"/>
              </w:rPr>
              <w:t>276.1</w:t>
            </w:r>
          </w:p>
        </w:tc>
      </w:tr>
      <w:tr>
        <w:trPr>
          <w:trHeight w:val="225"/>
        </w:trPr>
        <w:tc>
          <w:tcPr>
            <w:tcW w:w="7960" w:type="dxa"/>
            <w:vAlign w:val="bottom"/>
          </w:tcPr>
          <w:p>
            <w:pPr>
              <w:ind w:left="20"/>
              <w:spacing w:after="0"/>
              <w:rPr>
                <w:sz w:val="20"/>
                <w:szCs w:val="20"/>
                <w:color w:val="auto"/>
              </w:rPr>
            </w:pPr>
            <w:r>
              <w:rPr>
                <w:rFonts w:ascii="Arial" w:cs="Arial" w:eastAsia="Arial" w:hAnsi="Arial"/>
                <w:sz w:val="17"/>
                <w:szCs w:val="17"/>
                <w:color w:val="auto"/>
              </w:rPr>
              <w:t>Fourth Quarter</w:t>
            </w: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305.2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 a registered broker dealer and member firm of the Financial Industry Regulatory Authority, Inc. ("FINRA"), Piper Sandler &amp; Co. is subject to the uniform net capital rule of the SEC and the net capital rule of FINRA. We have elected to use the alternative method permitted by the uniform net capital rule which requires that we maintain minimum net capital of $1.0 million. Advances to affiliates, repayment of subordinated liabilities, dividend payments and other equity withdrawals are subject to certain approvals, notifications and other provisions of the uniform net capital rules. We expect that these provisions will not impact our ability to meet current and future obligations. At March 31, 2026, our net capital under the SEC's uniform net capital rule was $276.1 million, and exceeded the minimum net capital required under the SEC rule by $275.1 million.</w:t>
      </w: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Although we operate with a level of net capital substantially greater than the minimum thresholds established by FINRA and the SEC, a substantial reduction of our capital would curtail many of our capital markets revenue producing activities.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unsecured revolving credit facility and secured revolving credit facility include covenants requiring Piper Sandler &amp; Co. to maintain a minimum regulatory net capital of $120 million. Our fully disclosed clearing agreement with Pershing includes a covenant requiring Piper Sandler &amp; Co. to maintain excess net capital of $120 million.</w:t>
      </w:r>
    </w:p>
    <w:p>
      <w:pPr>
        <w:spacing w:after="0" w:line="201" w:lineRule="exact"/>
        <w:rPr>
          <w:sz w:val="20"/>
          <w:szCs w:val="20"/>
          <w:color w:val="auto"/>
        </w:rPr>
      </w:pPr>
    </w:p>
    <w:p>
      <w:pPr>
        <w:jc w:val="both"/>
        <w:ind w:right="20"/>
        <w:spacing w:after="0" w:line="301" w:lineRule="auto"/>
        <w:rPr>
          <w:sz w:val="20"/>
          <w:szCs w:val="20"/>
          <w:color w:val="auto"/>
        </w:rPr>
      </w:pPr>
      <w:r>
        <w:rPr>
          <w:rFonts w:ascii="Arial" w:cs="Arial" w:eastAsia="Arial" w:hAnsi="Arial"/>
          <w:sz w:val="17"/>
          <w:szCs w:val="17"/>
          <w:color w:val="auto"/>
        </w:rPr>
        <w:t>At March 31, 2026, Piper Sandler Ltd., our broker dealer subsidiary registered in the U.K., was subject to, and was in compliance with, the capital requirements of the Prudential Regulation Authority and the Financial Conduct Authority pursuant to the Financial Services Act of 2012.</w:t>
      </w:r>
    </w:p>
    <w:p>
      <w:pPr>
        <w:spacing w:after="0" w:line="171" w:lineRule="exact"/>
        <w:rPr>
          <w:sz w:val="20"/>
          <w:szCs w:val="20"/>
          <w:color w:val="auto"/>
        </w:rPr>
      </w:pPr>
    </w:p>
    <w:p>
      <w:pPr>
        <w:jc w:val="both"/>
        <w:ind w:right="20"/>
        <w:spacing w:after="0" w:line="284" w:lineRule="auto"/>
        <w:rPr>
          <w:sz w:val="20"/>
          <w:szCs w:val="20"/>
          <w:color w:val="auto"/>
        </w:rPr>
      </w:pPr>
      <w:r>
        <w:rPr>
          <w:rFonts w:ascii="Arial" w:cs="Arial" w:eastAsia="Arial" w:hAnsi="Arial"/>
          <w:sz w:val="17"/>
          <w:szCs w:val="17"/>
          <w:color w:val="auto"/>
        </w:rPr>
        <w:t>Aviditi Capital Advisors Europe GmbH, a European subsidiary, is authorized and regulated by the Federal Financial Supervisory Authority ("BaFin") as a tied agent of AHP Capital Management GmbH, a third-party financial institution.</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Piper Sandler MENA Ltd, an Abu Dhabi Global Market ("ADGM") subsidiary, is authorized and regulated by the ADGM Financial Services Regulatory Authority. As of March 31, 2026, Piper Sandler MENA Ltd was in compliance with the capital requirements of the ADGM Financial Services Regulatory Authority.</w:t>
      </w:r>
    </w:p>
    <w:p>
      <w:pPr>
        <w:spacing w:after="0" w:line="200" w:lineRule="exact"/>
        <w:rPr>
          <w:sz w:val="20"/>
          <w:szCs w:val="20"/>
          <w:color w:val="auto"/>
        </w:rPr>
      </w:pPr>
    </w:p>
    <w:p>
      <w:pPr>
        <w:spacing w:after="0" w:line="3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1" w:lineRule="exact"/>
        <w:rPr>
          <w:sz w:val="20"/>
          <w:szCs w:val="20"/>
          <w:color w:val="auto"/>
        </w:rPr>
      </w:pPr>
    </w:p>
    <w:p>
      <w:pPr>
        <w:spacing w:after="0" w:line="301" w:lineRule="auto"/>
        <w:rPr>
          <w:sz w:val="20"/>
          <w:szCs w:val="20"/>
          <w:color w:val="auto"/>
        </w:rPr>
      </w:pPr>
      <w:r>
        <w:rPr>
          <w:rFonts w:ascii="Arial" w:cs="Arial" w:eastAsia="Arial" w:hAnsi="Arial"/>
          <w:sz w:val="17"/>
          <w:szCs w:val="17"/>
          <w:color w:val="auto"/>
        </w:rPr>
        <w:t>In the ordinary course of business we enter into various types of off-balance sheet arrangements. The following table summarizes the notional contract value of our off-balance sheet arrangements for the periods presented: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rPr>
              <w:t>Expiration Per Period</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3"/>
                <w:szCs w:val="13"/>
                <w:b w:val="1"/>
                <w:bCs w:val="1"/>
                <w:color w:val="auto"/>
              </w:rPr>
              <w:t>Total Contractual Amount</w:t>
            </w:r>
          </w:p>
        </w:tc>
        <w:tc>
          <w:tcPr>
            <w:tcW w:w="0" w:type="dxa"/>
            <w:vAlign w:val="bottom"/>
          </w:tcPr>
          <w:p>
            <w:pPr>
              <w:spacing w:after="0"/>
              <w:rPr>
                <w:sz w:val="1"/>
                <w:szCs w:val="1"/>
                <w:color w:val="auto"/>
              </w:rPr>
            </w:pPr>
          </w:p>
        </w:tc>
      </w:tr>
      <w:tr>
        <w:trPr>
          <w:trHeight w:val="182"/>
        </w:trPr>
        <w:tc>
          <w:tcPr>
            <w:tcW w:w="2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b w:val="1"/>
                <w:bCs w:val="1"/>
                <w:color w:val="auto"/>
              </w:rPr>
              <w:t>Remainder of</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3"/>
              <w:spacing w:after="0"/>
              <w:rPr>
                <w:sz w:val="20"/>
                <w:szCs w:val="20"/>
                <w:color w:val="auto"/>
              </w:rPr>
            </w:pPr>
            <w:r>
              <w:rPr>
                <w:rFonts w:ascii="Arial" w:cs="Arial" w:eastAsia="Arial" w:hAnsi="Arial"/>
                <w:sz w:val="13"/>
                <w:szCs w:val="13"/>
                <w:b w:val="1"/>
                <w:bCs w:val="1"/>
                <w:color w:val="auto"/>
              </w:rPr>
              <w:t>2029</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33"/>
              <w:spacing w:after="0"/>
              <w:rPr>
                <w:sz w:val="20"/>
                <w:szCs w:val="20"/>
                <w:color w:val="auto"/>
              </w:rPr>
            </w:pPr>
            <w:r>
              <w:rPr>
                <w:rFonts w:ascii="Arial" w:cs="Arial" w:eastAsia="Arial" w:hAnsi="Arial"/>
                <w:sz w:val="13"/>
                <w:szCs w:val="13"/>
                <w:b w:val="1"/>
                <w:bCs w:val="1"/>
                <w:color w:val="auto"/>
              </w:rPr>
              <w:t>2031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5"/>
                <w:szCs w:val="15"/>
                <w:color w:val="auto"/>
              </w:rPr>
            </w:pPr>
          </w:p>
        </w:tc>
        <w:tc>
          <w:tcPr>
            <w:tcW w:w="1140" w:type="dxa"/>
            <w:vAlign w:val="bottom"/>
          </w:tcPr>
          <w:p>
            <w:pPr>
              <w:jc w:val="right"/>
              <w:ind w:right="133"/>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90"/>
        </w:trPr>
        <w:tc>
          <w:tcPr>
            <w:tcW w:w="2220" w:type="dxa"/>
            <w:vAlign w:val="bottom"/>
            <w:tcBorders>
              <w:bottom w:val="single" w:sz="8" w:color="F3F3F3"/>
            </w:tcBorders>
          </w:tcPr>
          <w:p>
            <w:pPr>
              <w:ind w:left="20"/>
              <w:spacing w:after="0"/>
              <w:rPr>
                <w:sz w:val="20"/>
                <w:szCs w:val="20"/>
                <w:color w:val="auto"/>
              </w:rPr>
            </w:pPr>
            <w:r>
              <w:rPr>
                <w:rFonts w:ascii="Arial" w:cs="Arial" w:eastAsia="Arial" w:hAnsi="Arial"/>
                <w:sz w:val="13"/>
                <w:szCs w:val="13"/>
                <w:i w:val="1"/>
                <w:iCs w:val="1"/>
                <w:color w:val="auto"/>
              </w:rPr>
              <w:t>(Amounts in thousands)</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F3F3F3"/>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2027</w:t>
            </w:r>
          </w:p>
        </w:tc>
        <w:tc>
          <w:tcPr>
            <w:tcW w:w="100" w:type="dxa"/>
            <w:vAlign w:val="bottom"/>
            <w:tcBorders>
              <w:bottom w:val="single" w:sz="8" w:color="F3F3F3"/>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2028</w:t>
            </w:r>
          </w:p>
        </w:tc>
        <w:tc>
          <w:tcPr>
            <w:tcW w:w="100" w:type="dxa"/>
            <w:vAlign w:val="bottom"/>
            <w:tcBorders>
              <w:bottom w:val="single" w:sz="8" w:color="F3F3F3"/>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- 2030</w:t>
            </w:r>
          </w:p>
        </w:tc>
        <w:tc>
          <w:tcPr>
            <w:tcW w:w="100" w:type="dxa"/>
            <w:vAlign w:val="bottom"/>
            <w:tcBorders>
              <w:bottom w:val="single" w:sz="8" w:color="F3F3F3"/>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- 2032</w:t>
            </w:r>
          </w:p>
        </w:tc>
        <w:tc>
          <w:tcPr>
            <w:tcW w:w="100" w:type="dxa"/>
            <w:vAlign w:val="bottom"/>
            <w:tcBorders>
              <w:bottom w:val="single" w:sz="8" w:color="F3F3F3"/>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Later</w:t>
            </w:r>
          </w:p>
        </w:tc>
        <w:tc>
          <w:tcPr>
            <w:tcW w:w="100" w:type="dxa"/>
            <w:vAlign w:val="bottom"/>
            <w:tcBorders>
              <w:bottom w:val="single" w:sz="8" w:color="F3F3F3"/>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2026</w:t>
            </w:r>
          </w:p>
        </w:tc>
        <w:tc>
          <w:tcPr>
            <w:tcW w:w="100" w:type="dxa"/>
            <w:vAlign w:val="bottom"/>
            <w:tcBorders>
              <w:bottom w:val="single" w:sz="8" w:color="F3F3F3"/>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2025</w:t>
            </w:r>
          </w:p>
        </w:tc>
        <w:tc>
          <w:tcPr>
            <w:tcW w:w="0" w:type="dxa"/>
            <w:vAlign w:val="bottom"/>
          </w:tcPr>
          <w:p>
            <w:pPr>
              <w:spacing w:after="0"/>
              <w:rPr>
                <w:sz w:val="1"/>
                <w:szCs w:val="1"/>
                <w:color w:val="auto"/>
              </w:rPr>
            </w:pPr>
          </w:p>
        </w:tc>
      </w:tr>
      <w:tr>
        <w:trPr>
          <w:trHeight w:val="118"/>
        </w:trPr>
        <w:tc>
          <w:tcPr>
            <w:tcW w:w="2220" w:type="dxa"/>
            <w:vAlign w:val="bottom"/>
            <w:shd w:val="clear" w:color="auto" w:fill="F3F3F3"/>
          </w:tcPr>
          <w:p>
            <w:pPr>
              <w:ind w:left="20"/>
              <w:spacing w:after="0" w:line="118" w:lineRule="exact"/>
              <w:rPr>
                <w:sz w:val="20"/>
                <w:szCs w:val="20"/>
                <w:color w:val="auto"/>
              </w:rPr>
            </w:pPr>
            <w:r>
              <w:rPr>
                <w:rFonts w:ascii="Arial" w:cs="Arial" w:eastAsia="Arial" w:hAnsi="Arial"/>
                <w:sz w:val="13"/>
                <w:szCs w:val="13"/>
                <w:color w:val="auto"/>
              </w:rPr>
              <w:t>Customer matched-book derivative</w:t>
            </w:r>
          </w:p>
        </w:tc>
        <w:tc>
          <w:tcPr>
            <w:tcW w:w="120" w:type="dxa"/>
            <w:vAlign w:val="bottom"/>
            <w:vMerge w:val="restart"/>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40" w:type="dxa"/>
            <w:vAlign w:val="bottom"/>
            <w:vMerge w:val="restart"/>
            <w:shd w:val="clear" w:color="auto" w:fill="F3F3F3"/>
          </w:tcPr>
          <w:p>
            <w:pPr>
              <w:jc w:val="right"/>
              <w:spacing w:after="0"/>
              <w:rPr>
                <w:sz w:val="20"/>
                <w:szCs w:val="20"/>
                <w:color w:val="auto"/>
              </w:rPr>
            </w:pPr>
            <w:r>
              <w:rPr>
                <w:rFonts w:ascii="Arial" w:cs="Arial" w:eastAsia="Arial" w:hAnsi="Arial"/>
                <w:sz w:val="13"/>
                <w:szCs w:val="13"/>
                <w:color w:val="auto"/>
              </w:rPr>
              <w:t>60,000</w:t>
            </w:r>
          </w:p>
        </w:tc>
        <w:tc>
          <w:tcPr>
            <w:tcW w:w="100" w:type="dxa"/>
            <w:vAlign w:val="bottom"/>
            <w:shd w:val="clear" w:color="auto" w:fill="F3F3F3"/>
          </w:tcPr>
          <w:p>
            <w:pPr>
              <w:spacing w:after="0"/>
              <w:rPr>
                <w:sz w:val="10"/>
                <w:szCs w:val="10"/>
                <w:color w:val="auto"/>
              </w:rPr>
            </w:pPr>
          </w:p>
        </w:tc>
        <w:tc>
          <w:tcPr>
            <w:tcW w:w="200" w:type="dxa"/>
            <w:vAlign w:val="bottom"/>
            <w:vMerge w:val="restart"/>
            <w:shd w:val="clear" w:color="auto" w:fill="F3F3F3"/>
          </w:tcPr>
          <w:p>
            <w:pPr>
              <w:jc w:val="right"/>
              <w:ind w:right="33"/>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F3F3F3"/>
          </w:tcPr>
          <w:p>
            <w:pPr>
              <w:jc w:val="right"/>
              <w:spacing w:after="0"/>
              <w:rPr>
                <w:sz w:val="20"/>
                <w:szCs w:val="20"/>
                <w:color w:val="auto"/>
              </w:rPr>
            </w:pPr>
            <w:r>
              <w:rPr>
                <w:rFonts w:ascii="Arial" w:cs="Arial" w:eastAsia="Arial" w:hAnsi="Arial"/>
                <w:sz w:val="13"/>
                <w:szCs w:val="13"/>
                <w:color w:val="auto"/>
              </w:rPr>
              <w:t>21,986</w:t>
            </w:r>
          </w:p>
        </w:tc>
        <w:tc>
          <w:tcPr>
            <w:tcW w:w="100" w:type="dxa"/>
            <w:vAlign w:val="bottom"/>
            <w:shd w:val="clear" w:color="auto" w:fill="F3F3F3"/>
          </w:tcPr>
          <w:p>
            <w:pPr>
              <w:spacing w:after="0"/>
              <w:rPr>
                <w:sz w:val="10"/>
                <w:szCs w:val="10"/>
                <w:color w:val="auto"/>
              </w:rPr>
            </w:pPr>
          </w:p>
        </w:tc>
        <w:tc>
          <w:tcPr>
            <w:tcW w:w="140" w:type="dxa"/>
            <w:vAlign w:val="bottom"/>
            <w:vMerge w:val="restart"/>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060" w:type="dxa"/>
            <w:vAlign w:val="bottom"/>
            <w:gridSpan w:val="3"/>
            <w:vMerge w:val="restart"/>
            <w:shd w:val="clear" w:color="auto" w:fill="F3F3F3"/>
          </w:tcPr>
          <w:p>
            <w:pPr>
              <w:ind w:left="580"/>
              <w:spacing w:after="0"/>
              <w:rPr>
                <w:sz w:val="20"/>
                <w:szCs w:val="20"/>
                <w:color w:val="auto"/>
              </w:rPr>
            </w:pPr>
            <w:r>
              <w:rPr>
                <w:rFonts w:ascii="Arial" w:cs="Arial" w:eastAsia="Arial" w:hAnsi="Arial"/>
                <w:sz w:val="13"/>
                <w:szCs w:val="13"/>
                <w:color w:val="auto"/>
              </w:rPr>
              <w:t>—   $</w:t>
            </w:r>
          </w:p>
        </w:tc>
        <w:tc>
          <w:tcPr>
            <w:tcW w:w="740" w:type="dxa"/>
            <w:vAlign w:val="bottom"/>
            <w:vMerge w:val="restart"/>
            <w:shd w:val="clear" w:color="auto" w:fill="F3F3F3"/>
          </w:tcPr>
          <w:p>
            <w:pPr>
              <w:jc w:val="right"/>
              <w:spacing w:after="0"/>
              <w:rPr>
                <w:sz w:val="20"/>
                <w:szCs w:val="20"/>
                <w:color w:val="auto"/>
              </w:rPr>
            </w:pPr>
            <w:r>
              <w:rPr>
                <w:rFonts w:ascii="Arial" w:cs="Arial" w:eastAsia="Arial" w:hAnsi="Arial"/>
                <w:sz w:val="13"/>
                <w:szCs w:val="13"/>
                <w:color w:val="auto"/>
              </w:rPr>
              <w:t>20,222</w:t>
            </w:r>
          </w:p>
        </w:tc>
        <w:tc>
          <w:tcPr>
            <w:tcW w:w="100" w:type="dxa"/>
            <w:vAlign w:val="bottom"/>
            <w:shd w:val="clear" w:color="auto" w:fill="F3F3F3"/>
          </w:tcPr>
          <w:p>
            <w:pPr>
              <w:spacing w:after="0"/>
              <w:rPr>
                <w:sz w:val="10"/>
                <w:szCs w:val="10"/>
                <w:color w:val="auto"/>
              </w:rPr>
            </w:pPr>
          </w:p>
        </w:tc>
        <w:tc>
          <w:tcPr>
            <w:tcW w:w="180" w:type="dxa"/>
            <w:vAlign w:val="bottom"/>
            <w:vMerge w:val="restart"/>
            <w:shd w:val="clear" w:color="auto" w:fill="F3F3F3"/>
          </w:tcPr>
          <w:p>
            <w:pPr>
              <w:jc w:val="right"/>
              <w:ind w:right="13"/>
              <w:spacing w:after="0"/>
              <w:rPr>
                <w:sz w:val="20"/>
                <w:szCs w:val="20"/>
                <w:color w:val="auto"/>
              </w:rPr>
            </w:pPr>
            <w:r>
              <w:rPr>
                <w:rFonts w:ascii="Arial" w:cs="Arial" w:eastAsia="Arial" w:hAnsi="Arial"/>
                <w:sz w:val="13"/>
                <w:szCs w:val="13"/>
                <w:color w:val="auto"/>
              </w:rPr>
              <w:t>$</w:t>
            </w:r>
          </w:p>
        </w:tc>
        <w:tc>
          <w:tcPr>
            <w:tcW w:w="1040" w:type="dxa"/>
            <w:vAlign w:val="bottom"/>
            <w:gridSpan w:val="3"/>
            <w:vMerge w:val="restart"/>
            <w:shd w:val="clear" w:color="auto" w:fill="F3F3F3"/>
          </w:tcPr>
          <w:p>
            <w:pPr>
              <w:ind w:left="540"/>
              <w:spacing w:after="0"/>
              <w:rPr>
                <w:sz w:val="20"/>
                <w:szCs w:val="20"/>
                <w:color w:val="auto"/>
              </w:rPr>
            </w:pPr>
            <w:r>
              <w:rPr>
                <w:rFonts w:ascii="Arial" w:cs="Arial" w:eastAsia="Arial" w:hAnsi="Arial"/>
                <w:sz w:val="13"/>
                <w:szCs w:val="13"/>
                <w:color w:val="auto"/>
              </w:rPr>
              <w:t>—   $</w:t>
            </w:r>
          </w:p>
        </w:tc>
        <w:tc>
          <w:tcPr>
            <w:tcW w:w="720" w:type="dxa"/>
            <w:vAlign w:val="bottom"/>
            <w:vMerge w:val="restart"/>
            <w:shd w:val="clear" w:color="auto" w:fill="F3F3F3"/>
          </w:tcPr>
          <w:p>
            <w:pPr>
              <w:jc w:val="right"/>
              <w:spacing w:after="0"/>
              <w:rPr>
                <w:sz w:val="20"/>
                <w:szCs w:val="20"/>
                <w:color w:val="auto"/>
              </w:rPr>
            </w:pPr>
            <w:r>
              <w:rPr>
                <w:rFonts w:ascii="Arial" w:cs="Arial" w:eastAsia="Arial" w:hAnsi="Arial"/>
                <w:sz w:val="13"/>
                <w:szCs w:val="13"/>
                <w:color w:val="auto"/>
              </w:rPr>
              <w:t>262,550</w:t>
            </w:r>
          </w:p>
        </w:tc>
        <w:tc>
          <w:tcPr>
            <w:tcW w:w="100" w:type="dxa"/>
            <w:vAlign w:val="bottom"/>
            <w:shd w:val="clear" w:color="auto" w:fill="F3F3F3"/>
          </w:tcPr>
          <w:p>
            <w:pPr>
              <w:spacing w:after="0"/>
              <w:rPr>
                <w:sz w:val="10"/>
                <w:szCs w:val="10"/>
                <w:color w:val="auto"/>
              </w:rPr>
            </w:pPr>
          </w:p>
        </w:tc>
        <w:tc>
          <w:tcPr>
            <w:tcW w:w="220" w:type="dxa"/>
            <w:vAlign w:val="bottom"/>
            <w:vMerge w:val="restart"/>
            <w:shd w:val="clear" w:color="auto" w:fill="F3F3F3"/>
          </w:tcPr>
          <w:p>
            <w:pPr>
              <w:jc w:val="right"/>
              <w:ind w:right="53"/>
              <w:spacing w:after="0"/>
              <w:rPr>
                <w:sz w:val="20"/>
                <w:szCs w:val="20"/>
                <w:color w:val="auto"/>
              </w:rPr>
            </w:pPr>
            <w:r>
              <w:rPr>
                <w:rFonts w:ascii="Arial" w:cs="Arial" w:eastAsia="Arial" w:hAnsi="Arial"/>
                <w:sz w:val="13"/>
                <w:szCs w:val="13"/>
                <w:b w:val="1"/>
                <w:bCs w:val="1"/>
                <w:color w:val="auto"/>
              </w:rPr>
              <w:t>$</w:t>
            </w:r>
          </w:p>
        </w:tc>
        <w:tc>
          <w:tcPr>
            <w:tcW w:w="1060" w:type="dxa"/>
            <w:vAlign w:val="bottom"/>
            <w:vMerge w:val="restart"/>
            <w:shd w:val="clear" w:color="auto" w:fill="F3F3F3"/>
          </w:tcPr>
          <w:p>
            <w:pPr>
              <w:jc w:val="right"/>
              <w:spacing w:after="0"/>
              <w:rPr>
                <w:sz w:val="20"/>
                <w:szCs w:val="20"/>
                <w:color w:val="auto"/>
              </w:rPr>
            </w:pPr>
            <w:r>
              <w:rPr>
                <w:rFonts w:ascii="Arial" w:cs="Arial" w:eastAsia="Arial" w:hAnsi="Arial"/>
                <w:sz w:val="13"/>
                <w:szCs w:val="13"/>
                <w:b w:val="1"/>
                <w:bCs w:val="1"/>
                <w:color w:val="auto"/>
              </w:rPr>
              <w:t>364,758</w:t>
            </w:r>
          </w:p>
        </w:tc>
        <w:tc>
          <w:tcPr>
            <w:tcW w:w="100" w:type="dxa"/>
            <w:vAlign w:val="bottom"/>
            <w:shd w:val="clear" w:color="auto" w:fill="F3F3F3"/>
          </w:tcPr>
          <w:p>
            <w:pPr>
              <w:spacing w:after="0"/>
              <w:rPr>
                <w:sz w:val="10"/>
                <w:szCs w:val="10"/>
                <w:color w:val="auto"/>
              </w:rPr>
            </w:pPr>
          </w:p>
        </w:tc>
        <w:tc>
          <w:tcPr>
            <w:tcW w:w="140" w:type="dxa"/>
            <w:vAlign w:val="bottom"/>
            <w:vMerge w:val="restart"/>
            <w:shd w:val="clear" w:color="auto" w:fill="F3F3F3"/>
          </w:tcPr>
          <w:p>
            <w:pPr>
              <w:jc w:val="right"/>
              <w:spacing w:after="0"/>
              <w:rPr>
                <w:sz w:val="20"/>
                <w:szCs w:val="20"/>
                <w:color w:val="auto"/>
              </w:rPr>
            </w:pPr>
            <w:r>
              <w:rPr>
                <w:rFonts w:ascii="Arial" w:cs="Arial" w:eastAsia="Arial" w:hAnsi="Arial"/>
                <w:sz w:val="13"/>
                <w:szCs w:val="13"/>
                <w:color w:val="auto"/>
              </w:rPr>
              <w:t>$</w:t>
            </w:r>
          </w:p>
        </w:tc>
        <w:tc>
          <w:tcPr>
            <w:tcW w:w="1140" w:type="dxa"/>
            <w:vAlign w:val="bottom"/>
            <w:vMerge w:val="restart"/>
            <w:shd w:val="clear" w:color="auto" w:fill="F3F3F3"/>
          </w:tcPr>
          <w:p>
            <w:pPr>
              <w:jc w:val="right"/>
              <w:spacing w:after="0"/>
              <w:rPr>
                <w:sz w:val="20"/>
                <w:szCs w:val="20"/>
                <w:color w:val="auto"/>
              </w:rPr>
            </w:pPr>
            <w:r>
              <w:rPr>
                <w:rFonts w:ascii="Arial" w:cs="Arial" w:eastAsia="Arial" w:hAnsi="Arial"/>
                <w:sz w:val="13"/>
                <w:szCs w:val="13"/>
                <w:color w:val="auto"/>
              </w:rPr>
              <w:t>355,129</w:t>
            </w:r>
          </w:p>
        </w:tc>
        <w:tc>
          <w:tcPr>
            <w:tcW w:w="0" w:type="dxa"/>
            <w:vAlign w:val="bottom"/>
          </w:tcPr>
          <w:p>
            <w:pPr>
              <w:spacing w:after="0"/>
              <w:rPr>
                <w:sz w:val="1"/>
                <w:szCs w:val="1"/>
                <w:color w:val="auto"/>
              </w:rPr>
            </w:pPr>
          </w:p>
        </w:tc>
      </w:tr>
      <w:tr>
        <w:trPr>
          <w:trHeight w:val="188"/>
        </w:trPr>
        <w:tc>
          <w:tcPr>
            <w:tcW w:w="2220" w:type="dxa"/>
            <w:vAlign w:val="bottom"/>
            <w:shd w:val="clear" w:color="auto" w:fill="F3F3F3"/>
          </w:tcPr>
          <w:p>
            <w:pPr>
              <w:ind w:left="100"/>
              <w:spacing w:after="0"/>
              <w:rPr>
                <w:sz w:val="20"/>
                <w:szCs w:val="20"/>
                <w:color w:val="auto"/>
              </w:rPr>
            </w:pPr>
            <w:r>
              <w:rPr>
                <w:rFonts w:ascii="Arial" w:cs="Arial" w:eastAsia="Arial" w:hAnsi="Arial"/>
                <w:sz w:val="13"/>
                <w:szCs w:val="13"/>
                <w:color w:val="auto"/>
              </w:rPr>
              <w:t>contracts (1) (2)</w:t>
            </w:r>
          </w:p>
        </w:tc>
        <w:tc>
          <w:tcPr>
            <w:tcW w:w="120" w:type="dxa"/>
            <w:vAlign w:val="bottom"/>
            <w:vMerge w:val="continue"/>
            <w:shd w:val="clear" w:color="auto" w:fill="F3F3F3"/>
          </w:tcPr>
          <w:p>
            <w:pPr>
              <w:spacing w:after="0"/>
              <w:rPr>
                <w:sz w:val="16"/>
                <w:szCs w:val="16"/>
                <w:color w:val="auto"/>
              </w:rPr>
            </w:pPr>
          </w:p>
        </w:tc>
        <w:tc>
          <w:tcPr>
            <w:tcW w:w="1040" w:type="dxa"/>
            <w:vAlign w:val="bottom"/>
            <w:vMerge w:val="continue"/>
            <w:shd w:val="clear" w:color="auto" w:fill="F3F3F3"/>
          </w:tcPr>
          <w:p>
            <w:pPr>
              <w:spacing w:after="0"/>
              <w:rPr>
                <w:sz w:val="16"/>
                <w:szCs w:val="16"/>
                <w:color w:val="auto"/>
              </w:rPr>
            </w:pPr>
          </w:p>
        </w:tc>
        <w:tc>
          <w:tcPr>
            <w:tcW w:w="100" w:type="dxa"/>
            <w:vAlign w:val="bottom"/>
            <w:shd w:val="clear" w:color="auto" w:fill="F3F3F3"/>
          </w:tcPr>
          <w:p>
            <w:pPr>
              <w:spacing w:after="0"/>
              <w:rPr>
                <w:sz w:val="16"/>
                <w:szCs w:val="16"/>
                <w:color w:val="auto"/>
              </w:rPr>
            </w:pPr>
          </w:p>
        </w:tc>
        <w:tc>
          <w:tcPr>
            <w:tcW w:w="200" w:type="dxa"/>
            <w:vAlign w:val="bottom"/>
            <w:vMerge w:val="continue"/>
            <w:shd w:val="clear" w:color="auto" w:fill="F3F3F3"/>
          </w:tcPr>
          <w:p>
            <w:pPr>
              <w:spacing w:after="0"/>
              <w:rPr>
                <w:sz w:val="16"/>
                <w:szCs w:val="16"/>
                <w:color w:val="auto"/>
              </w:rPr>
            </w:pPr>
          </w:p>
        </w:tc>
        <w:tc>
          <w:tcPr>
            <w:tcW w:w="720" w:type="dxa"/>
            <w:vAlign w:val="bottom"/>
            <w:vMerge w:val="continue"/>
            <w:shd w:val="clear" w:color="auto" w:fill="F3F3F3"/>
          </w:tcPr>
          <w:p>
            <w:pPr>
              <w:spacing w:after="0"/>
              <w:rPr>
                <w:sz w:val="16"/>
                <w:szCs w:val="16"/>
                <w:color w:val="auto"/>
              </w:rPr>
            </w:pPr>
          </w:p>
        </w:tc>
        <w:tc>
          <w:tcPr>
            <w:tcW w:w="100" w:type="dxa"/>
            <w:vAlign w:val="bottom"/>
            <w:shd w:val="clear" w:color="auto" w:fill="F3F3F3"/>
          </w:tcPr>
          <w:p>
            <w:pPr>
              <w:spacing w:after="0"/>
              <w:rPr>
                <w:sz w:val="16"/>
                <w:szCs w:val="16"/>
                <w:color w:val="auto"/>
              </w:rPr>
            </w:pPr>
          </w:p>
        </w:tc>
        <w:tc>
          <w:tcPr>
            <w:tcW w:w="140" w:type="dxa"/>
            <w:vAlign w:val="bottom"/>
            <w:vMerge w:val="continue"/>
            <w:shd w:val="clear" w:color="auto" w:fill="F3F3F3"/>
          </w:tcPr>
          <w:p>
            <w:pPr>
              <w:spacing w:after="0"/>
              <w:rPr>
                <w:sz w:val="16"/>
                <w:szCs w:val="16"/>
                <w:color w:val="auto"/>
              </w:rPr>
            </w:pPr>
          </w:p>
        </w:tc>
        <w:tc>
          <w:tcPr>
            <w:tcW w:w="1060" w:type="dxa"/>
            <w:vAlign w:val="bottom"/>
            <w:gridSpan w:val="3"/>
            <w:vMerge w:val="continue"/>
            <w:shd w:val="clear" w:color="auto" w:fill="F3F3F3"/>
          </w:tcPr>
          <w:p>
            <w:pPr>
              <w:spacing w:after="0"/>
              <w:rPr>
                <w:sz w:val="16"/>
                <w:szCs w:val="16"/>
                <w:color w:val="auto"/>
              </w:rPr>
            </w:pPr>
          </w:p>
        </w:tc>
        <w:tc>
          <w:tcPr>
            <w:tcW w:w="740" w:type="dxa"/>
            <w:vAlign w:val="bottom"/>
            <w:vMerge w:val="continue"/>
            <w:shd w:val="clear" w:color="auto" w:fill="F3F3F3"/>
          </w:tcPr>
          <w:p>
            <w:pPr>
              <w:spacing w:after="0"/>
              <w:rPr>
                <w:sz w:val="16"/>
                <w:szCs w:val="16"/>
                <w:color w:val="auto"/>
              </w:rPr>
            </w:pPr>
          </w:p>
        </w:tc>
        <w:tc>
          <w:tcPr>
            <w:tcW w:w="100" w:type="dxa"/>
            <w:vAlign w:val="bottom"/>
            <w:shd w:val="clear" w:color="auto" w:fill="F3F3F3"/>
          </w:tcPr>
          <w:p>
            <w:pPr>
              <w:spacing w:after="0"/>
              <w:rPr>
                <w:sz w:val="16"/>
                <w:szCs w:val="16"/>
                <w:color w:val="auto"/>
              </w:rPr>
            </w:pPr>
          </w:p>
        </w:tc>
        <w:tc>
          <w:tcPr>
            <w:tcW w:w="180" w:type="dxa"/>
            <w:vAlign w:val="bottom"/>
            <w:vMerge w:val="continue"/>
            <w:shd w:val="clear" w:color="auto" w:fill="F3F3F3"/>
          </w:tcPr>
          <w:p>
            <w:pPr>
              <w:spacing w:after="0"/>
              <w:rPr>
                <w:sz w:val="16"/>
                <w:szCs w:val="16"/>
                <w:color w:val="auto"/>
              </w:rPr>
            </w:pPr>
          </w:p>
        </w:tc>
        <w:tc>
          <w:tcPr>
            <w:tcW w:w="1040" w:type="dxa"/>
            <w:vAlign w:val="bottom"/>
            <w:gridSpan w:val="3"/>
            <w:vMerge w:val="continue"/>
            <w:shd w:val="clear" w:color="auto" w:fill="F3F3F3"/>
          </w:tcPr>
          <w:p>
            <w:pPr>
              <w:spacing w:after="0"/>
              <w:rPr>
                <w:sz w:val="16"/>
                <w:szCs w:val="16"/>
                <w:color w:val="auto"/>
              </w:rPr>
            </w:pPr>
          </w:p>
        </w:tc>
        <w:tc>
          <w:tcPr>
            <w:tcW w:w="720" w:type="dxa"/>
            <w:vAlign w:val="bottom"/>
            <w:vMerge w:val="continue"/>
            <w:shd w:val="clear" w:color="auto" w:fill="F3F3F3"/>
          </w:tcPr>
          <w:p>
            <w:pPr>
              <w:spacing w:after="0"/>
              <w:rPr>
                <w:sz w:val="16"/>
                <w:szCs w:val="16"/>
                <w:color w:val="auto"/>
              </w:rPr>
            </w:pPr>
          </w:p>
        </w:tc>
        <w:tc>
          <w:tcPr>
            <w:tcW w:w="100" w:type="dxa"/>
            <w:vAlign w:val="bottom"/>
            <w:shd w:val="clear" w:color="auto" w:fill="F3F3F3"/>
          </w:tcPr>
          <w:p>
            <w:pPr>
              <w:spacing w:after="0"/>
              <w:rPr>
                <w:sz w:val="16"/>
                <w:szCs w:val="16"/>
                <w:color w:val="auto"/>
              </w:rPr>
            </w:pPr>
          </w:p>
        </w:tc>
        <w:tc>
          <w:tcPr>
            <w:tcW w:w="220" w:type="dxa"/>
            <w:vAlign w:val="bottom"/>
            <w:vMerge w:val="continue"/>
            <w:shd w:val="clear" w:color="auto" w:fill="F3F3F3"/>
          </w:tcPr>
          <w:p>
            <w:pPr>
              <w:spacing w:after="0"/>
              <w:rPr>
                <w:sz w:val="16"/>
                <w:szCs w:val="16"/>
                <w:color w:val="auto"/>
              </w:rPr>
            </w:pPr>
          </w:p>
        </w:tc>
        <w:tc>
          <w:tcPr>
            <w:tcW w:w="1060" w:type="dxa"/>
            <w:vAlign w:val="bottom"/>
            <w:vMerge w:val="continue"/>
            <w:shd w:val="clear" w:color="auto" w:fill="F3F3F3"/>
          </w:tcPr>
          <w:p>
            <w:pPr>
              <w:spacing w:after="0"/>
              <w:rPr>
                <w:sz w:val="16"/>
                <w:szCs w:val="16"/>
                <w:color w:val="auto"/>
              </w:rPr>
            </w:pPr>
          </w:p>
        </w:tc>
        <w:tc>
          <w:tcPr>
            <w:tcW w:w="100" w:type="dxa"/>
            <w:vAlign w:val="bottom"/>
            <w:shd w:val="clear" w:color="auto" w:fill="F3F3F3"/>
          </w:tcPr>
          <w:p>
            <w:pPr>
              <w:spacing w:after="0"/>
              <w:rPr>
                <w:sz w:val="16"/>
                <w:szCs w:val="16"/>
                <w:color w:val="auto"/>
              </w:rPr>
            </w:pPr>
          </w:p>
        </w:tc>
        <w:tc>
          <w:tcPr>
            <w:tcW w:w="140" w:type="dxa"/>
            <w:vAlign w:val="bottom"/>
            <w:vMerge w:val="continue"/>
            <w:shd w:val="clear" w:color="auto" w:fill="F3F3F3"/>
          </w:tcPr>
          <w:p>
            <w:pPr>
              <w:spacing w:after="0"/>
              <w:rPr>
                <w:sz w:val="16"/>
                <w:szCs w:val="16"/>
                <w:color w:val="auto"/>
              </w:rPr>
            </w:pPr>
          </w:p>
        </w:tc>
        <w:tc>
          <w:tcPr>
            <w:tcW w:w="1140" w:type="dxa"/>
            <w:vAlign w:val="bottom"/>
            <w:vMerge w:val="continue"/>
            <w:shd w:val="clear" w:color="auto" w:fill="F3F3F3"/>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220" w:type="dxa"/>
            <w:vAlign w:val="bottom"/>
          </w:tcPr>
          <w:p>
            <w:pPr>
              <w:ind w:left="20"/>
              <w:spacing w:after="0" w:line="136" w:lineRule="exact"/>
              <w:rPr>
                <w:sz w:val="20"/>
                <w:szCs w:val="20"/>
                <w:color w:val="auto"/>
              </w:rPr>
            </w:pPr>
            <w:r>
              <w:rPr>
                <w:rFonts w:ascii="Arial" w:cs="Arial" w:eastAsia="Arial" w:hAnsi="Arial"/>
                <w:sz w:val="13"/>
                <w:szCs w:val="13"/>
                <w:color w:val="auto"/>
              </w:rPr>
              <w:t>Trading securities derivative</w:t>
            </w:r>
          </w:p>
        </w:tc>
        <w:tc>
          <w:tcPr>
            <w:tcW w:w="12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171,180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50,080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3"/>
            <w:vMerge w:val="restart"/>
          </w:tcPr>
          <w:p>
            <w:pPr>
              <w:ind w:left="580"/>
              <w:spacing w:after="0"/>
              <w:rPr>
                <w:sz w:val="20"/>
                <w:szCs w:val="20"/>
                <w:color w:val="auto"/>
              </w:rPr>
            </w:pPr>
            <w:r>
              <w:rPr>
                <w:rFonts w:ascii="Arial" w:cs="Arial" w:eastAsia="Arial" w:hAnsi="Arial"/>
                <w:sz w:val="13"/>
                <w:szCs w:val="13"/>
                <w:color w:val="auto"/>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6,500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3"/>
            <w:vMerge w:val="restart"/>
          </w:tcPr>
          <w:p>
            <w:pPr>
              <w:ind w:left="540"/>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227,760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236,400</w:t>
            </w:r>
          </w:p>
        </w:tc>
        <w:tc>
          <w:tcPr>
            <w:tcW w:w="0" w:type="dxa"/>
            <w:vAlign w:val="bottom"/>
          </w:tcPr>
          <w:p>
            <w:pPr>
              <w:spacing w:after="0"/>
              <w:rPr>
                <w:sz w:val="1"/>
                <w:szCs w:val="1"/>
                <w:color w:val="auto"/>
              </w:rPr>
            </w:pPr>
          </w:p>
        </w:tc>
      </w:tr>
      <w:tr>
        <w:trPr>
          <w:trHeight w:val="186"/>
        </w:trPr>
        <w:tc>
          <w:tcPr>
            <w:tcW w:w="2220" w:type="dxa"/>
            <w:vAlign w:val="bottom"/>
          </w:tcPr>
          <w:p>
            <w:pPr>
              <w:ind w:left="100"/>
              <w:spacing w:after="0"/>
              <w:rPr>
                <w:sz w:val="20"/>
                <w:szCs w:val="20"/>
                <w:color w:val="auto"/>
              </w:rPr>
            </w:pPr>
            <w:r>
              <w:rPr>
                <w:rFonts w:ascii="Arial" w:cs="Arial" w:eastAsia="Arial" w:hAnsi="Arial"/>
                <w:sz w:val="13"/>
                <w:szCs w:val="13"/>
                <w:color w:val="auto"/>
              </w:rPr>
              <w:t>contracts (1)</w:t>
            </w: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220" w:type="dxa"/>
            <w:vAlign w:val="bottom"/>
            <w:shd w:val="clear" w:color="auto" w:fill="F3F3F3"/>
          </w:tcPr>
          <w:p>
            <w:pPr>
              <w:ind w:left="20"/>
              <w:spacing w:after="0"/>
              <w:rPr>
                <w:sz w:val="20"/>
                <w:szCs w:val="20"/>
                <w:color w:val="auto"/>
              </w:rPr>
            </w:pPr>
            <w:r>
              <w:rPr>
                <w:rFonts w:ascii="Arial" w:cs="Arial" w:eastAsia="Arial" w:hAnsi="Arial"/>
                <w:sz w:val="13"/>
                <w:szCs w:val="13"/>
                <w:color w:val="auto"/>
              </w:rPr>
              <w:t>Investment commitments (3)</w:t>
            </w:r>
          </w:p>
        </w:tc>
        <w:tc>
          <w:tcPr>
            <w:tcW w:w="120" w:type="dxa"/>
            <w:vAlign w:val="bottom"/>
            <w:shd w:val="clear" w:color="auto" w:fill="F3F3F3"/>
          </w:tcPr>
          <w:p>
            <w:pPr>
              <w:spacing w:after="0"/>
              <w:rPr>
                <w:sz w:val="16"/>
                <w:szCs w:val="16"/>
                <w:color w:val="auto"/>
              </w:rPr>
            </w:pPr>
          </w:p>
        </w:tc>
        <w:tc>
          <w:tcPr>
            <w:tcW w:w="1140" w:type="dxa"/>
            <w:vAlign w:val="bottom"/>
            <w:gridSpan w:val="2"/>
            <w:shd w:val="clear" w:color="auto" w:fill="F3F3F3"/>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F3F3F3"/>
          </w:tcPr>
          <w:p>
            <w:pPr>
              <w:spacing w:after="0"/>
              <w:rPr>
                <w:sz w:val="16"/>
                <w:szCs w:val="16"/>
                <w:color w:val="auto"/>
              </w:rPr>
            </w:pPr>
          </w:p>
        </w:tc>
        <w:tc>
          <w:tcPr>
            <w:tcW w:w="820" w:type="dxa"/>
            <w:vAlign w:val="bottom"/>
            <w:gridSpan w:val="2"/>
            <w:shd w:val="clear" w:color="auto" w:fill="F3F3F3"/>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F3F3F3"/>
          </w:tcPr>
          <w:p>
            <w:pPr>
              <w:spacing w:after="0"/>
              <w:rPr>
                <w:sz w:val="16"/>
                <w:szCs w:val="16"/>
                <w:color w:val="auto"/>
              </w:rPr>
            </w:pPr>
          </w:p>
        </w:tc>
        <w:tc>
          <w:tcPr>
            <w:tcW w:w="1060" w:type="dxa"/>
            <w:vAlign w:val="bottom"/>
            <w:gridSpan w:val="3"/>
            <w:shd w:val="clear" w:color="auto" w:fill="F3F3F3"/>
          </w:tcPr>
          <w:p>
            <w:pPr>
              <w:ind w:left="580"/>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F3F3F3"/>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F3F3F3"/>
          </w:tcPr>
          <w:p>
            <w:pPr>
              <w:spacing w:after="0"/>
              <w:rPr>
                <w:sz w:val="16"/>
                <w:szCs w:val="16"/>
                <w:color w:val="auto"/>
              </w:rPr>
            </w:pPr>
          </w:p>
        </w:tc>
        <w:tc>
          <w:tcPr>
            <w:tcW w:w="1040" w:type="dxa"/>
            <w:vAlign w:val="bottom"/>
            <w:gridSpan w:val="3"/>
            <w:shd w:val="clear" w:color="auto" w:fill="F3F3F3"/>
          </w:tcPr>
          <w:p>
            <w:pPr>
              <w:ind w:left="54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F3F3F3"/>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F3F3F3"/>
          </w:tcPr>
          <w:p>
            <w:pPr>
              <w:spacing w:after="0"/>
              <w:rPr>
                <w:sz w:val="16"/>
                <w:szCs w:val="16"/>
                <w:color w:val="auto"/>
              </w:rPr>
            </w:pPr>
          </w:p>
        </w:tc>
        <w:tc>
          <w:tcPr>
            <w:tcW w:w="1060" w:type="dxa"/>
            <w:vAlign w:val="bottom"/>
            <w:shd w:val="clear" w:color="auto" w:fill="F3F3F3"/>
          </w:tcPr>
          <w:p>
            <w:pPr>
              <w:jc w:val="right"/>
              <w:spacing w:after="0"/>
              <w:rPr>
                <w:sz w:val="20"/>
                <w:szCs w:val="20"/>
                <w:color w:val="auto"/>
              </w:rPr>
            </w:pPr>
            <w:r>
              <w:rPr>
                <w:rFonts w:ascii="Arial" w:cs="Arial" w:eastAsia="Arial" w:hAnsi="Arial"/>
                <w:sz w:val="13"/>
                <w:szCs w:val="13"/>
                <w:b w:val="1"/>
                <w:bCs w:val="1"/>
                <w:color w:val="auto"/>
              </w:rPr>
              <w:t>28,091</w:t>
            </w:r>
          </w:p>
        </w:tc>
        <w:tc>
          <w:tcPr>
            <w:tcW w:w="100" w:type="dxa"/>
            <w:vAlign w:val="bottom"/>
            <w:shd w:val="clear" w:color="auto" w:fill="F3F3F3"/>
          </w:tcPr>
          <w:p>
            <w:pPr>
              <w:spacing w:after="0"/>
              <w:rPr>
                <w:sz w:val="16"/>
                <w:szCs w:val="16"/>
                <w:color w:val="auto"/>
              </w:rPr>
            </w:pPr>
          </w:p>
        </w:tc>
        <w:tc>
          <w:tcPr>
            <w:tcW w:w="140" w:type="dxa"/>
            <w:vAlign w:val="bottom"/>
            <w:shd w:val="clear" w:color="auto" w:fill="F3F3F3"/>
          </w:tcPr>
          <w:p>
            <w:pPr>
              <w:spacing w:after="0"/>
              <w:rPr>
                <w:sz w:val="16"/>
                <w:szCs w:val="16"/>
                <w:color w:val="auto"/>
              </w:rPr>
            </w:pPr>
          </w:p>
        </w:tc>
        <w:tc>
          <w:tcPr>
            <w:tcW w:w="1140" w:type="dxa"/>
            <w:vAlign w:val="bottom"/>
            <w:shd w:val="clear" w:color="auto" w:fill="F3F3F3"/>
          </w:tcPr>
          <w:p>
            <w:pPr>
              <w:jc w:val="right"/>
              <w:spacing w:after="0"/>
              <w:rPr>
                <w:sz w:val="20"/>
                <w:szCs w:val="20"/>
                <w:color w:val="auto"/>
              </w:rPr>
            </w:pPr>
            <w:r>
              <w:rPr>
                <w:rFonts w:ascii="Arial" w:cs="Arial" w:eastAsia="Arial" w:hAnsi="Arial"/>
                <w:sz w:val="13"/>
                <w:szCs w:val="13"/>
                <w:color w:val="auto"/>
              </w:rPr>
              <w:t>30,884</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40" w:hanging="332"/>
        <w:spacing w:after="0" w:line="269" w:lineRule="auto"/>
        <w:tabs>
          <w:tab w:leader="none" w:pos="329"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We believe the fair value of these derivative contracts is a more relevant measure of the obligations because we believe the notional or contract amount overstates the expected payout. At March 31, 2026 and December 31, 2025, the net fair value of these derivative contracts approximated $3.2 million and $4.0 million, respectively.</w:t>
      </w:r>
    </w:p>
    <w:p>
      <w:pPr>
        <w:jc w:val="both"/>
        <w:ind w:left="340" w:hanging="332"/>
        <w:spacing w:after="0" w:line="271" w:lineRule="auto"/>
        <w:tabs>
          <w:tab w:leader="none" w:pos="329"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We have three counterparties (contractual amount of $72.4 million at March 31, 2026) who are not required to post collateral. The uncollateralized amounts, representing the fair value of the derivative contracts, expose us to the credit risk of these counterparties. At March 31, 2026, we had $4.4 million of credit exposure with these counterparties, including $3.9 million of credit exposure with one counterparty.</w:t>
      </w:r>
    </w:p>
    <w:p>
      <w:pPr>
        <w:spacing w:after="0" w:line="21" w:lineRule="exact"/>
        <w:rPr>
          <w:rFonts w:ascii="Arial" w:cs="Arial" w:eastAsia="Arial" w:hAnsi="Arial"/>
          <w:sz w:val="13"/>
          <w:szCs w:val="13"/>
          <w:i w:val="1"/>
          <w:iCs w:val="1"/>
          <w:color w:val="auto"/>
        </w:rPr>
      </w:pPr>
    </w:p>
    <w:p>
      <w:pPr>
        <w:ind w:left="320" w:hanging="312"/>
        <w:spacing w:after="0"/>
        <w:tabs>
          <w:tab w:leader="none" w:pos="320" w:val="left"/>
        </w:tabs>
        <w:numPr>
          <w:ilvl w:val="0"/>
          <w:numId w:val="17"/>
        </w:numPr>
        <w:rPr>
          <w:rFonts w:ascii="Arial" w:cs="Arial" w:eastAsia="Arial" w:hAnsi="Arial"/>
          <w:sz w:val="13"/>
          <w:szCs w:val="13"/>
          <w:i w:val="1"/>
          <w:iCs w:val="1"/>
          <w:color w:val="auto"/>
        </w:rPr>
      </w:pPr>
      <w:r>
        <w:rPr>
          <w:rFonts w:ascii="Arial" w:cs="Arial" w:eastAsia="Arial" w:hAnsi="Arial"/>
          <w:sz w:val="13"/>
          <w:szCs w:val="13"/>
          <w:i w:val="1"/>
          <w:iCs w:val="1"/>
          <w:color w:val="auto"/>
        </w:rPr>
        <w:t>The investment commitments have no specified call dates. The timing of capital calls is based on market conditions and investment opportunities.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Derivatives' notional or contract amounts are not reflected as assets or liabilities on our consolidated statements of financial condition. Rather, the fair value of the derivative transactions are reported on the consolidated statements of financial condition as assets or liabilities in financial instruments and other inventory positions owned and financial instruments and other inventory positions sold, but not yet purchased, as applicable.</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a discussion of our activities related to derivative products, see Note 7 to our unaudited consolidated financial statements included in Part I, Item 1 of this Quarterly Report on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Commitments</w:t>
      </w:r>
    </w:p>
    <w:p>
      <w:pPr>
        <w:spacing w:after="0" w:line="19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have investments, including those made as part of our alternative asset management activities, in limited partnerships or limited liability companies that make direct or indirect equity or debt investments in companies. We commit capital and/or act as the managing partner of these entities. We have committed capital of $28.1 million to certain entities and these commitments generally have no specified call dates.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Risk is an inherent part of our business. The principal risks we face in operating our business include: strategic risk, market risk, liquidity risk, credit risk, operational risk, human capital risk, and legal and regulatory risk. The extent to which we properly identify and effectively manage each of these risks is critical to our financial condition and profitability. We have a formal risk management process to identify, assess and monitor each risk and mitigating controls in accordance with defined policies and procedures. The risk management functions are independent of our business lines. Our management takes an active role in the risk management process, and the results are reported to senior management and the board of directors.</w:t>
      </w:r>
    </w:p>
    <w:p>
      <w:pPr>
        <w:spacing w:after="0" w:line="20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audit committee of the board of directors oversees management's processes for identifying and evaluating our major risks, and the policies, procedures and practices employed by management to govern its risk assessment and risk management processes. The nominating and governance committee of the board of directors oversees the board of directors' committee structures and functions as they relate to the various committees' responsibilities with respect to oversight of our major risk exposures. With respect to these major risk exposures, the audit committee is responsible for overseeing management's monitoring and control of our major risk exposures relating to market risk, credit risk, liquidity risk, legal and regulatory risk, operational risk (including cybersecurity, as further described in Part I, Item 1C "Cybersecurity" in our Annual Report on Form 10-K for the year ended December 31, 2025), and human capital risk relating to misconduct, fraud, and legal and compliance matters. Our compensation committee is responsible for overseeing management's monitoring and control of our major risk exposures relating to compensation, organizational structure, and succession. Our board of directors is responsible for overseeing management's monitoring and control of our major risk exposures related to our corporate strategy. Our Chief Executive Officer and Chief Financial Officer meet with the audit committee on a quarterly basis to discuss our market, liquidity, and legal and regulatory risks, and provide updates to the board of directors, audit committee, and compensation committee concerning the other major risk exposures on a regular basis.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use internal committees to assist in governing risk and ensure that our business activities are properly assessed, monitored and managed. Our executive financial risk committee manages our market, liquidity and credit risks; oversees risk management practices related to these risks, including defining acceptable risk tolerances and approving risk management policies; and responds to market changes in a dynamic manner. Membership is comprised of senior leadership, including our Chief Executive Officer, President, Chief Financial Officer, Treasurer, Head of Market and Credit Risk, and Head of Fixed Income Trading and Risk. Other committees that help evaluate and monitor risk include underwriting, leadership team and operating committees. These committees help manage risk by ensuring that business activities are properly managed and within a defined scope of activity. Our valuation committees, comprised of members of senior management and risk management, provide oversight and overall responsibility for the internal control processes and procedures related to fair value measurements. Additionally, our operational risk committees address and monitor risk related to information systems and security, legal, regulatory and compliance matters, and third parties such as vendors and service providers.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With respect to market risk and credit risk, the cornerstone of our risk management process is daily communication among traders, trading department management and senior management concerning our inventory positions and overall risk profile. Our risk management functions supplement this communication process by providing their independent perspectives on our market and credit risk profile on a daily basis. The broader objectives of our risk management functions are to understand the risk profile of each trading area, to consolidate risk monitoring company-wide, to assist in implementing effective hedging strategies, to articulate large trading or position risks to senior management, and to ensure accurate fair values of our financial instruments.</w:t>
      </w:r>
    </w:p>
    <w:p>
      <w:pPr>
        <w:spacing w:after="0" w:line="21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Risk management techniques, processes and strategies may not be fully effective in mitigating our risk exposure in all market environments or against all types of risk, and any risk management failures could expose us to material unanticipated losses.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Risk</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Strategic risk represents the risk associated with executive management failing to develop and execute on the appropriate strategic vision which demonstrates a commitment to our culture, leverages our core competencies, appropriately responds to external factors in the marketplace, and is in the best interests of our clients, employees and shareholders.</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Our leadership team is responsible for managing our strategic risks. The board of directors oversees the leadership team in setting and executing our strategic plan.</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Market risk represents the risk of losses, or financial volatility, that may result from the change in value of a financial instrument due to fluctuations in its market price. Our exposure to market risk is directly related to our role as a financial intermediary for our clients and to our market-making activities. The scope of our market risk management policies and procedures includes all market-sensitive cash and derivative financial instruments.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Our different types of market risk include: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Interest rate risk represents the potential volatility from changes in market interest rates. We are exposed to interest rate risk arising from changes in the level and volatility of interest rates, changes in the slope of the yield curve, changes in credit spreads, and the rate of prepayments on our interest-earning assets (e.g., inventories) and our funding sources (e.g., short-term financing) which finance these assets. Interest rate risk is managed by selling short U.S. government securities, agency securities, corporate debt securities and derivative contracts. See Note 7 to our unaudited consolidated financial statements included in Part I, Item 1 of this Quarterly Report on Form 10-Q for additional information on our derivative contracts. Our interest rate hedging strategies may not work in all market environments and as a result may not be effective in mitigating interest rate risk. Also, we establish limits on our long fixed income securities inventory, monitor these limits on a daily basis and manage within those limits. Our limits include but are not limited to the following: position and concentration size, dollar duration (i.e., DV01), credit quality and aging.</w:t>
      </w:r>
    </w:p>
    <w:p>
      <w:pPr>
        <w:spacing w:after="0" w:line="200" w:lineRule="exact"/>
        <w:rPr>
          <w:sz w:val="20"/>
          <w:szCs w:val="20"/>
          <w:color w:val="auto"/>
        </w:rPr>
      </w:pPr>
    </w:p>
    <w:p>
      <w:pPr>
        <w:spacing w:after="0" w:line="218"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We estimate that a parallel 50 basis point adverse change in the market would result in a decrease of approximately $0.4 million in the carrying value of our fixed income securities inventory as of March 31, 2026, including the effect of the hedging transactions.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We also measure and monitor the aging and turnover of our long fixed income securities inventory. Turnover is evaluated based on a five-day average by category of security. The vast majority of our fixed income securities inventory generally turns over within three weeks.</w:t>
      </w:r>
    </w:p>
    <w:p>
      <w:pPr>
        <w:spacing w:after="0" w:line="17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 addition to the measures discussed above, we monitor and manage market risk exposure through evaluation of spread DV01 and the Municipal Market Data ("MMD") basis risk for municipal securities to movements in U.S. treasury securities. All metrics are aggregated by asset concentration and are used for monitoring limits and exception approvals. In times of market volatility, we may also perform ad hoc stress tests and scenario analysis as market conditions dictate.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Equity price risk represents the potential loss in value due to adverse changes in the level or volatility of equity prices. We are exposed to equity price risk through our trading activities primarily in the U.S. market. We attempt to reduce the risk of loss inherent in our market-making and in our inventory of equity securities by establishing limits on our long inventory, monitoring these limits on a daily basis, and by managing net position levels within those limits.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Foreign exchange risk represents the potential volatility to earnings or capital arising from movement in foreign exchange rates. A modest portion of our business is conducted in currencies other than the U.S. dollar, and changes in foreign exchange rates relative to the U.S. dollar can therefore affect the value of non-U.S. dollar net assets, revenues and expenses.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Liquidity risk is the risk that we are unable to timely access necessary funding sources in order to operate our business, as well as the risk that we are unable to timely divest securities that we hold in connection with our market-making and sales and trading activities. We are exposed to liquidity risk in our day-to-day funding activities, by holding potentially illiquid inventory positions and in our role as a remarketing agent for variable rate demand notes.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Our inventory positions subject us to potential financial losses from the reduction in value of illiquid positions. Market risk can be exacerbated in times of trading illiquidity when market participants refrain from transacting in normal quantities or at normal bid-offer spreads. Depending on the specific security, the structure of the financial product, or overall market conditions, we may be forced to hold a security for substantially longer than we had planned or forced to liquidate into a challenging market if funding becomes unavailable.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See the section entitled "Liquidity, Funding and Capital Resources" for information regarding our liquidity and how we manage liquidity risk.</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Credit risk refers to the potential for loss due to the default or deterioration in credit quality of a counterparty, customer, borrower or issuer of securities we hold in our trading inventory. The nature and amount of credit risk depends on the type of transaction, the structure and duration of that transaction and the parties involved. Credit risk also results from an obligor's failure to meet the terms of any contract with us or otherwise fail to perform as agreed. This may be reflected through issues such as settlement obligations or payment collections.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A key tenet of our risk management procedures related to credit risk is the daily monitoring of the credit quality of our long fixed income securities inventory. These rating trends and the credit quality mix are regularly reviewed with the executive financial risk committee. The following table summarizes the credit rating for our long corporate fixed income securities, taxable and tax-exempt municipal securities, and U.S. government and agency securities as a percentage of the total of these asset classes as of March 31, 2026:</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680" w:type="dxa"/>
            <w:vAlign w:val="bottom"/>
          </w:tcPr>
          <w:p>
            <w:pPr>
              <w:spacing w:after="0"/>
              <w:rPr>
                <w:sz w:val="20"/>
                <w:szCs w:val="20"/>
                <w:color w:val="auto"/>
              </w:rPr>
            </w:pPr>
          </w:p>
        </w:tc>
        <w:tc>
          <w:tcPr>
            <w:tcW w:w="1260" w:type="dxa"/>
            <w:vAlign w:val="bottom"/>
            <w:gridSpan w:val="2"/>
          </w:tcPr>
          <w:p>
            <w:pPr>
              <w:ind w:left="400"/>
              <w:spacing w:after="0"/>
              <w:rPr>
                <w:sz w:val="20"/>
                <w:szCs w:val="20"/>
                <w:color w:val="auto"/>
              </w:rPr>
            </w:pPr>
            <w:r>
              <w:rPr>
                <w:rFonts w:ascii="Arial" w:cs="Arial" w:eastAsia="Arial" w:hAnsi="Arial"/>
                <w:sz w:val="17"/>
                <w:szCs w:val="17"/>
                <w:b w:val="1"/>
                <w:bCs w:val="1"/>
                <w:color w:val="auto"/>
              </w:rPr>
              <w:t>AAA</w:t>
            </w:r>
          </w:p>
        </w:tc>
        <w:tc>
          <w:tcPr>
            <w:tcW w:w="1280" w:type="dxa"/>
            <w:vAlign w:val="bottom"/>
            <w:gridSpan w:val="2"/>
          </w:tcPr>
          <w:p>
            <w:pPr>
              <w:ind w:left="460"/>
              <w:spacing w:after="0"/>
              <w:rPr>
                <w:sz w:val="20"/>
                <w:szCs w:val="20"/>
                <w:color w:val="auto"/>
              </w:rPr>
            </w:pPr>
            <w:r>
              <w:rPr>
                <w:rFonts w:ascii="Arial" w:cs="Arial" w:eastAsia="Arial" w:hAnsi="Arial"/>
                <w:sz w:val="17"/>
                <w:szCs w:val="17"/>
                <w:b w:val="1"/>
                <w:bCs w:val="1"/>
                <w:color w:val="auto"/>
              </w:rPr>
              <w:t>AA</w:t>
            </w:r>
          </w:p>
        </w:tc>
        <w:tc>
          <w:tcPr>
            <w:tcW w:w="1280" w:type="dxa"/>
            <w:vAlign w:val="bottom"/>
            <w:gridSpan w:val="2"/>
          </w:tcPr>
          <w:p>
            <w:pPr>
              <w:ind w:left="540"/>
              <w:spacing w:after="0"/>
              <w:rPr>
                <w:sz w:val="20"/>
                <w:szCs w:val="20"/>
                <w:color w:val="auto"/>
              </w:rPr>
            </w:pPr>
            <w:r>
              <w:rPr>
                <w:rFonts w:ascii="Arial" w:cs="Arial" w:eastAsia="Arial" w:hAnsi="Arial"/>
                <w:sz w:val="17"/>
                <w:szCs w:val="17"/>
                <w:b w:val="1"/>
                <w:bCs w:val="1"/>
                <w:color w:val="auto"/>
              </w:rPr>
              <w:t>A</w:t>
            </w:r>
          </w:p>
        </w:tc>
        <w:tc>
          <w:tcPr>
            <w:tcW w:w="1260" w:type="dxa"/>
            <w:vAlign w:val="bottom"/>
            <w:gridSpan w:val="2"/>
          </w:tcPr>
          <w:p>
            <w:pPr>
              <w:ind w:left="400"/>
              <w:spacing w:after="0"/>
              <w:rPr>
                <w:sz w:val="20"/>
                <w:szCs w:val="20"/>
                <w:color w:val="auto"/>
              </w:rPr>
            </w:pPr>
            <w:r>
              <w:rPr>
                <w:rFonts w:ascii="Arial" w:cs="Arial" w:eastAsia="Arial" w:hAnsi="Arial"/>
                <w:sz w:val="17"/>
                <w:szCs w:val="17"/>
                <w:b w:val="1"/>
                <w:bCs w:val="1"/>
                <w:color w:val="auto"/>
              </w:rPr>
              <w:t>BBB</w:t>
            </w:r>
          </w:p>
        </w:tc>
        <w:tc>
          <w:tcPr>
            <w:tcW w:w="1280" w:type="dxa"/>
            <w:vAlign w:val="bottom"/>
            <w:gridSpan w:val="2"/>
          </w:tcPr>
          <w:p>
            <w:pPr>
              <w:ind w:left="480"/>
              <w:spacing w:after="0"/>
              <w:rPr>
                <w:sz w:val="20"/>
                <w:szCs w:val="20"/>
                <w:color w:val="auto"/>
              </w:rPr>
            </w:pPr>
            <w:r>
              <w:rPr>
                <w:rFonts w:ascii="Arial" w:cs="Arial" w:eastAsia="Arial" w:hAnsi="Arial"/>
                <w:sz w:val="17"/>
                <w:szCs w:val="17"/>
                <w:b w:val="1"/>
                <w:bCs w:val="1"/>
                <w:color w:val="auto"/>
              </w:rPr>
              <w:t>BB</w:t>
            </w:r>
          </w:p>
        </w:tc>
        <w:tc>
          <w:tcPr>
            <w:tcW w:w="1200" w:type="dxa"/>
            <w:vAlign w:val="bottom"/>
          </w:tcPr>
          <w:p>
            <w:pPr>
              <w:jc w:val="right"/>
              <w:ind w:right="115"/>
              <w:spacing w:after="0"/>
              <w:rPr>
                <w:sz w:val="20"/>
                <w:szCs w:val="20"/>
                <w:color w:val="auto"/>
              </w:rPr>
            </w:pPr>
            <w:r>
              <w:rPr>
                <w:rFonts w:ascii="Arial" w:cs="Arial" w:eastAsia="Arial" w:hAnsi="Arial"/>
                <w:sz w:val="17"/>
                <w:szCs w:val="17"/>
                <w:b w:val="1"/>
                <w:bCs w:val="1"/>
                <w:color w:val="auto"/>
              </w:rPr>
              <w:t>Not Rated</w:t>
            </w:r>
          </w:p>
        </w:tc>
      </w:tr>
      <w:tr>
        <w:trPr>
          <w:trHeight w:val="225"/>
        </w:trPr>
        <w:tc>
          <w:tcPr>
            <w:tcW w:w="3680" w:type="dxa"/>
            <w:vAlign w:val="bottom"/>
            <w:tcBorders>
              <w:top w:val="single" w:sz="8" w:color="F3F3F3"/>
            </w:tcBorders>
            <w:shd w:val="clear" w:color="auto" w:fill="F3F3F3"/>
          </w:tcPr>
          <w:p>
            <w:pPr>
              <w:ind w:left="20"/>
              <w:spacing w:after="0"/>
              <w:rPr>
                <w:sz w:val="20"/>
                <w:szCs w:val="20"/>
                <w:color w:val="auto"/>
              </w:rPr>
            </w:pPr>
            <w:r>
              <w:rPr>
                <w:rFonts w:ascii="Arial" w:cs="Arial" w:eastAsia="Arial" w:hAnsi="Arial"/>
                <w:sz w:val="17"/>
                <w:szCs w:val="17"/>
                <w:color w:val="auto"/>
              </w:rPr>
              <w:t>Corporate fixed income securities</w:t>
            </w:r>
          </w:p>
        </w:tc>
        <w:tc>
          <w:tcPr>
            <w:tcW w:w="116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 %</w:t>
            </w:r>
          </w:p>
        </w:tc>
        <w:tc>
          <w:tcPr>
            <w:tcW w:w="100" w:type="dxa"/>
            <w:vAlign w:val="bottom"/>
            <w:tcBorders>
              <w:top w:val="single" w:sz="8" w:color="F3F3F3"/>
            </w:tcBorders>
            <w:shd w:val="clear" w:color="auto" w:fill="F3F3F3"/>
          </w:tcPr>
          <w:p>
            <w:pPr>
              <w:spacing w:after="0"/>
              <w:rPr>
                <w:sz w:val="19"/>
                <w:szCs w:val="19"/>
                <w:color w:val="auto"/>
              </w:rPr>
            </w:pPr>
          </w:p>
        </w:tc>
        <w:tc>
          <w:tcPr>
            <w:tcW w:w="1180" w:type="dxa"/>
            <w:vAlign w:val="bottom"/>
            <w:tcBorders>
              <w:top w:val="single" w:sz="8" w:color="auto"/>
            </w:tcBorders>
            <w:shd w:val="clear" w:color="auto" w:fill="F3F3F3"/>
          </w:tcPr>
          <w:p>
            <w:pPr>
              <w:ind w:left="780"/>
              <w:spacing w:after="0"/>
              <w:rPr>
                <w:sz w:val="20"/>
                <w:szCs w:val="20"/>
                <w:color w:val="auto"/>
              </w:rPr>
            </w:pPr>
            <w:r>
              <w:rPr>
                <w:rFonts w:ascii="Arial" w:cs="Arial" w:eastAsia="Arial" w:hAnsi="Arial"/>
                <w:sz w:val="17"/>
                <w:szCs w:val="17"/>
                <w:color w:val="auto"/>
              </w:rPr>
              <w:t>— %</w:t>
            </w:r>
          </w:p>
        </w:tc>
        <w:tc>
          <w:tcPr>
            <w:tcW w:w="100" w:type="dxa"/>
            <w:vAlign w:val="bottom"/>
            <w:tcBorders>
              <w:top w:val="single" w:sz="8" w:color="F3F3F3"/>
            </w:tcBorders>
            <w:shd w:val="clear" w:color="auto" w:fill="F3F3F3"/>
          </w:tcPr>
          <w:p>
            <w:pPr>
              <w:spacing w:after="0"/>
              <w:rPr>
                <w:sz w:val="19"/>
                <w:szCs w:val="19"/>
                <w:color w:val="auto"/>
              </w:rPr>
            </w:pPr>
          </w:p>
        </w:tc>
        <w:tc>
          <w:tcPr>
            <w:tcW w:w="118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Borders>
              <w:top w:val="single" w:sz="8" w:color="F3F3F3"/>
            </w:tcBorders>
            <w:shd w:val="clear" w:color="auto" w:fill="F3F3F3"/>
          </w:tcPr>
          <w:p>
            <w:pPr>
              <w:spacing w:after="0"/>
              <w:rPr>
                <w:sz w:val="19"/>
                <w:szCs w:val="19"/>
                <w:color w:val="auto"/>
              </w:rPr>
            </w:pPr>
          </w:p>
        </w:tc>
        <w:tc>
          <w:tcPr>
            <w:tcW w:w="118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0.3 %</w:t>
            </w:r>
          </w:p>
        </w:tc>
        <w:tc>
          <w:tcPr>
            <w:tcW w:w="80" w:type="dxa"/>
            <w:vAlign w:val="bottom"/>
            <w:tcBorders>
              <w:top w:val="single" w:sz="8" w:color="F3F3F3"/>
            </w:tcBorders>
            <w:shd w:val="clear" w:color="auto" w:fill="F3F3F3"/>
          </w:tcPr>
          <w:p>
            <w:pPr>
              <w:spacing w:after="0"/>
              <w:rPr>
                <w:sz w:val="19"/>
                <w:szCs w:val="19"/>
                <w:color w:val="auto"/>
              </w:rPr>
            </w:pPr>
          </w:p>
        </w:tc>
        <w:tc>
          <w:tcPr>
            <w:tcW w:w="1180" w:type="dxa"/>
            <w:vAlign w:val="bottom"/>
            <w:tcBorders>
              <w:top w:val="single" w:sz="8" w:color="auto"/>
            </w:tcBorders>
            <w:shd w:val="clear" w:color="auto" w:fill="F3F3F3"/>
          </w:tcPr>
          <w:p>
            <w:pPr>
              <w:ind w:left="800"/>
              <w:spacing w:after="0"/>
              <w:rPr>
                <w:sz w:val="20"/>
                <w:szCs w:val="20"/>
                <w:color w:val="auto"/>
              </w:rPr>
            </w:pPr>
            <w:r>
              <w:rPr>
                <w:rFonts w:ascii="Arial" w:cs="Arial" w:eastAsia="Arial" w:hAnsi="Arial"/>
                <w:sz w:val="17"/>
                <w:szCs w:val="17"/>
                <w:color w:val="auto"/>
                <w:w w:val="97"/>
              </w:rPr>
              <w:t>— %</w:t>
            </w:r>
          </w:p>
        </w:tc>
        <w:tc>
          <w:tcPr>
            <w:tcW w:w="100" w:type="dxa"/>
            <w:vAlign w:val="bottom"/>
            <w:tcBorders>
              <w:top w:val="single" w:sz="8" w:color="F3F3F3"/>
            </w:tcBorders>
            <w:shd w:val="clear" w:color="auto" w:fill="F3F3F3"/>
          </w:tcPr>
          <w:p>
            <w:pPr>
              <w:spacing w:after="0"/>
              <w:rPr>
                <w:sz w:val="19"/>
                <w:szCs w:val="19"/>
                <w:color w:val="auto"/>
              </w:rPr>
            </w:pPr>
          </w:p>
        </w:tc>
        <w:tc>
          <w:tcPr>
            <w:tcW w:w="1200" w:type="dxa"/>
            <w:vAlign w:val="bottom"/>
            <w:tcBorders>
              <w:top w:val="single" w:sz="8" w:color="auto"/>
            </w:tcBorders>
            <w:shd w:val="clear" w:color="auto" w:fill="F3F3F3"/>
          </w:tcPr>
          <w:p>
            <w:pPr>
              <w:jc w:val="right"/>
              <w:spacing w:after="0"/>
              <w:rPr>
                <w:sz w:val="20"/>
                <w:szCs w:val="20"/>
                <w:color w:val="auto"/>
              </w:rPr>
            </w:pPr>
            <w:r>
              <w:rPr>
                <w:rFonts w:ascii="Arial" w:cs="Arial" w:eastAsia="Arial" w:hAnsi="Arial"/>
                <w:sz w:val="17"/>
                <w:szCs w:val="17"/>
                <w:color w:val="auto"/>
              </w:rPr>
              <w:t>0.9 %</w:t>
            </w:r>
          </w:p>
        </w:tc>
      </w:tr>
      <w:tr>
        <w:trPr>
          <w:trHeight w:val="227"/>
        </w:trPr>
        <w:tc>
          <w:tcPr>
            <w:tcW w:w="3680" w:type="dxa"/>
            <w:vAlign w:val="bottom"/>
          </w:tcPr>
          <w:p>
            <w:pPr>
              <w:ind w:left="20"/>
              <w:spacing w:after="0"/>
              <w:rPr>
                <w:sz w:val="20"/>
                <w:szCs w:val="20"/>
                <w:color w:val="auto"/>
              </w:rPr>
            </w:pPr>
            <w:r>
              <w:rPr>
                <w:rFonts w:ascii="Arial" w:cs="Arial" w:eastAsia="Arial" w:hAnsi="Arial"/>
                <w:sz w:val="17"/>
                <w:szCs w:val="17"/>
                <w:color w:val="auto"/>
              </w:rPr>
              <w:t>Taxable and tax-exempt municipal securities</w:t>
            </w:r>
          </w:p>
        </w:tc>
        <w:tc>
          <w:tcPr>
            <w:tcW w:w="1160" w:type="dxa"/>
            <w:vAlign w:val="bottom"/>
          </w:tcPr>
          <w:p>
            <w:pPr>
              <w:jc w:val="right"/>
              <w:ind w:right="135"/>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1180" w:type="dxa"/>
            <w:vAlign w:val="bottom"/>
          </w:tcPr>
          <w:p>
            <w:pPr>
              <w:ind w:left="620"/>
              <w:spacing w:after="0"/>
              <w:rPr>
                <w:sz w:val="20"/>
                <w:szCs w:val="20"/>
                <w:color w:val="auto"/>
              </w:rPr>
            </w:pPr>
            <w:r>
              <w:rPr>
                <w:rFonts w:ascii="Arial" w:cs="Arial" w:eastAsia="Arial" w:hAnsi="Arial"/>
                <w:sz w:val="17"/>
                <w:szCs w:val="17"/>
                <w:color w:val="auto"/>
              </w:rPr>
              <w:t>46.7</w:t>
            </w:r>
          </w:p>
        </w:tc>
        <w:tc>
          <w:tcPr>
            <w:tcW w:w="100" w:type="dxa"/>
            <w:vAlign w:val="bottom"/>
          </w:tcPr>
          <w:p>
            <w:pPr>
              <w:spacing w:after="0"/>
              <w:rPr>
                <w:sz w:val="19"/>
                <w:szCs w:val="19"/>
                <w:color w:val="auto"/>
              </w:rPr>
            </w:pPr>
          </w:p>
        </w:tc>
        <w:tc>
          <w:tcPr>
            <w:tcW w:w="1180" w:type="dxa"/>
            <w:vAlign w:val="bottom"/>
          </w:tcPr>
          <w:p>
            <w:pPr>
              <w:jc w:val="right"/>
              <w:ind w:right="135"/>
              <w:spacing w:after="0"/>
              <w:rPr>
                <w:sz w:val="20"/>
                <w:szCs w:val="20"/>
                <w:color w:val="auto"/>
              </w:rPr>
            </w:pPr>
            <w:r>
              <w:rPr>
                <w:rFonts w:ascii="Arial" w:cs="Arial" w:eastAsia="Arial" w:hAnsi="Arial"/>
                <w:sz w:val="17"/>
                <w:szCs w:val="17"/>
                <w:color w:val="auto"/>
              </w:rPr>
              <w:t>8.1</w:t>
            </w:r>
          </w:p>
        </w:tc>
        <w:tc>
          <w:tcPr>
            <w:tcW w:w="10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280" w:type="dxa"/>
            <w:vAlign w:val="bottom"/>
            <w:gridSpan w:val="2"/>
          </w:tcPr>
          <w:p>
            <w:pPr>
              <w:ind w:left="800"/>
              <w:spacing w:after="0"/>
              <w:rPr>
                <w:sz w:val="20"/>
                <w:szCs w:val="20"/>
                <w:color w:val="auto"/>
              </w:rPr>
            </w:pPr>
            <w:r>
              <w:rPr>
                <w:rFonts w:ascii="Arial" w:cs="Arial" w:eastAsia="Arial" w:hAnsi="Arial"/>
                <w:sz w:val="17"/>
                <w:szCs w:val="17"/>
                <w:color w:val="auto"/>
              </w:rPr>
              <w:t>—</w:t>
            </w:r>
          </w:p>
        </w:tc>
        <w:tc>
          <w:tcPr>
            <w:tcW w:w="1200" w:type="dxa"/>
            <w:vAlign w:val="bottom"/>
          </w:tcPr>
          <w:p>
            <w:pPr>
              <w:jc w:val="right"/>
              <w:ind w:right="135"/>
              <w:spacing w:after="0"/>
              <w:rPr>
                <w:sz w:val="20"/>
                <w:szCs w:val="20"/>
                <w:color w:val="auto"/>
              </w:rPr>
            </w:pPr>
            <w:r>
              <w:rPr>
                <w:rFonts w:ascii="Arial" w:cs="Arial" w:eastAsia="Arial" w:hAnsi="Arial"/>
                <w:sz w:val="17"/>
                <w:szCs w:val="17"/>
                <w:color w:val="auto"/>
              </w:rPr>
              <w:t>3.2</w:t>
            </w:r>
          </w:p>
        </w:tc>
      </w:tr>
      <w:tr>
        <w:trPr>
          <w:trHeight w:val="232"/>
        </w:trPr>
        <w:tc>
          <w:tcPr>
            <w:tcW w:w="3680" w:type="dxa"/>
            <w:vAlign w:val="bottom"/>
            <w:shd w:val="clear" w:color="auto" w:fill="F3F3F3"/>
          </w:tcPr>
          <w:p>
            <w:pPr>
              <w:ind w:left="20"/>
              <w:spacing w:after="0"/>
              <w:rPr>
                <w:sz w:val="20"/>
                <w:szCs w:val="20"/>
                <w:color w:val="auto"/>
              </w:rPr>
            </w:pPr>
            <w:r>
              <w:rPr>
                <w:rFonts w:ascii="Arial" w:cs="Arial" w:eastAsia="Arial" w:hAnsi="Arial"/>
                <w:sz w:val="17"/>
                <w:szCs w:val="17"/>
                <w:color w:val="auto"/>
              </w:rPr>
              <w:t>U.S. government and agency securities</w:t>
            </w:r>
          </w:p>
        </w:tc>
        <w:tc>
          <w:tcPr>
            <w:tcW w:w="1260" w:type="dxa"/>
            <w:vAlign w:val="bottom"/>
            <w:gridSpan w:val="2"/>
            <w:shd w:val="clear" w:color="auto" w:fill="F3F3F3"/>
          </w:tcPr>
          <w:p>
            <w:pPr>
              <w:jc w:val="right"/>
              <w:ind w:right="320"/>
              <w:spacing w:after="0"/>
              <w:rPr>
                <w:sz w:val="20"/>
                <w:szCs w:val="20"/>
                <w:color w:val="auto"/>
              </w:rPr>
            </w:pPr>
            <w:r>
              <w:rPr>
                <w:rFonts w:ascii="Arial" w:cs="Arial" w:eastAsia="Arial" w:hAnsi="Arial"/>
                <w:sz w:val="17"/>
                <w:szCs w:val="17"/>
                <w:color w:val="auto"/>
              </w:rPr>
              <w:t>—</w:t>
            </w:r>
          </w:p>
        </w:tc>
        <w:tc>
          <w:tcPr>
            <w:tcW w:w="1180" w:type="dxa"/>
            <w:vAlign w:val="bottom"/>
            <w:shd w:val="clear" w:color="auto" w:fill="F3F3F3"/>
          </w:tcPr>
          <w:p>
            <w:pPr>
              <w:ind w:left="620"/>
              <w:spacing w:after="0"/>
              <w:rPr>
                <w:sz w:val="20"/>
                <w:szCs w:val="20"/>
                <w:color w:val="auto"/>
              </w:rPr>
            </w:pPr>
            <w:r>
              <w:rPr>
                <w:rFonts w:ascii="Arial" w:cs="Arial" w:eastAsia="Arial" w:hAnsi="Arial"/>
                <w:sz w:val="17"/>
                <w:szCs w:val="17"/>
                <w:color w:val="auto"/>
              </w:rPr>
              <w:t>31.5</w:t>
            </w:r>
          </w:p>
        </w:tc>
        <w:tc>
          <w:tcPr>
            <w:tcW w:w="100" w:type="dxa"/>
            <w:vAlign w:val="bottom"/>
            <w:shd w:val="clear" w:color="auto" w:fill="F3F3F3"/>
          </w:tcPr>
          <w:p>
            <w:pPr>
              <w:spacing w:after="0"/>
              <w:rPr>
                <w:sz w:val="20"/>
                <w:szCs w:val="20"/>
                <w:color w:val="auto"/>
              </w:rPr>
            </w:pPr>
          </w:p>
        </w:tc>
        <w:tc>
          <w:tcPr>
            <w:tcW w:w="1280" w:type="dxa"/>
            <w:vAlign w:val="bottom"/>
            <w:gridSpan w:val="2"/>
            <w:shd w:val="clear" w:color="auto" w:fill="F3F3F3"/>
          </w:tcPr>
          <w:p>
            <w:pPr>
              <w:jc w:val="right"/>
              <w:ind w:right="3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F3F3F3"/>
          </w:tcPr>
          <w:p>
            <w:pPr>
              <w:jc w:val="right"/>
              <w:ind w:right="30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F3F3F3"/>
          </w:tcPr>
          <w:p>
            <w:pPr>
              <w:ind w:left="800"/>
              <w:spacing w:after="0"/>
              <w:rPr>
                <w:sz w:val="20"/>
                <w:szCs w:val="20"/>
                <w:color w:val="auto"/>
              </w:rPr>
            </w:pPr>
            <w:r>
              <w:rPr>
                <w:rFonts w:ascii="Arial" w:cs="Arial" w:eastAsia="Arial" w:hAnsi="Arial"/>
                <w:sz w:val="17"/>
                <w:szCs w:val="17"/>
                <w:color w:val="auto"/>
              </w:rPr>
              <w:t>—</w:t>
            </w:r>
          </w:p>
        </w:tc>
        <w:tc>
          <w:tcPr>
            <w:tcW w:w="1200" w:type="dxa"/>
            <w:vAlign w:val="bottom"/>
            <w:shd w:val="clear" w:color="auto" w:fill="F3F3F3"/>
          </w:tcPr>
          <w:p>
            <w:pPr>
              <w:jc w:val="right"/>
              <w:ind w:right="135"/>
              <w:spacing w:after="0"/>
              <w:rPr>
                <w:sz w:val="20"/>
                <w:szCs w:val="20"/>
                <w:color w:val="auto"/>
              </w:rPr>
            </w:pPr>
            <w:r>
              <w:rPr>
                <w:rFonts w:ascii="Arial" w:cs="Arial" w:eastAsia="Arial" w:hAnsi="Arial"/>
                <w:sz w:val="17"/>
                <w:szCs w:val="17"/>
                <w:color w:val="auto"/>
              </w:rPr>
              <w:t>—</w:t>
            </w:r>
          </w:p>
        </w:tc>
      </w:tr>
      <w:tr>
        <w:trPr>
          <w:trHeight w:val="221"/>
        </w:trPr>
        <w:tc>
          <w:tcPr>
            <w:tcW w:w="3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7.3 %</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7"/>
                <w:szCs w:val="17"/>
                <w:color w:val="auto"/>
              </w:rPr>
              <w:t>78.2 %</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10.1 %</w:t>
            </w:r>
          </w:p>
        </w:tc>
        <w:tc>
          <w:tcPr>
            <w:tcW w:w="10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0.3 %</w:t>
            </w:r>
          </w:p>
        </w:tc>
        <w:tc>
          <w:tcPr>
            <w:tcW w:w="80" w:type="dxa"/>
            <w:vAlign w:val="bottom"/>
          </w:tcPr>
          <w:p>
            <w:pPr>
              <w:spacing w:after="0"/>
              <w:rPr>
                <w:sz w:val="19"/>
                <w:szCs w:val="19"/>
                <w:color w:val="auto"/>
              </w:rPr>
            </w:pPr>
          </w:p>
        </w:tc>
        <w:tc>
          <w:tcPr>
            <w:tcW w:w="11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7"/>
                <w:szCs w:val="17"/>
                <w:color w:val="auto"/>
                <w:w w:val="97"/>
              </w:rPr>
              <w:t>— %</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4.1 %</w:t>
            </w:r>
          </w:p>
        </w:tc>
      </w:tr>
      <w:tr>
        <w:trPr>
          <w:trHeight w:val="23"/>
        </w:trPr>
        <w:tc>
          <w:tcPr>
            <w:tcW w:w="3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Arial" w:cs="Arial" w:eastAsia="Arial" w:hAnsi="Arial"/>
          <w:sz w:val="17"/>
          <w:szCs w:val="17"/>
          <w:color w:val="auto"/>
        </w:rPr>
        <w:t>Convertible and preferred securities are excluded from the table above as they are typically unrated.</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Our different types of credit risk include: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Spread Risk</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Credit spread risk arises from the possibility that changes in credit spreads will affect the value of financial instruments. Credit spreads represent the credit risk premiums required by market participants for a given credit quality (e.g., the additional yield that a debt instrument issued by a AA-rated entity must produce over a risk-free alternative). Changes in credit spreads result from potential changes in an issuer's credit rating or the market's perception of the issuer's creditworthiness. We are exposed to credit spread risk with the debt instruments held in our trading inventory. We enter into transactions to hedge our exposure to credit spread risk with derivatives and certain other financial instruments. These hedging strategies may not work in all market environments and as a result may not be effective in mitigating credit spread risk.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Deterioration/Default Risk</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Deterioration/default risk represents the risk due to an issuer, counterparty or borrower failing to fulfill its obligations. We are exposed to deterioration/default risk in our role as a trading counterparty to dealers and customers, as a holder of securities, and as a member of exchanges. The risk of default depends on the creditworthiness of the counterparty or issuer of the security. We mitigate this risk by establishing and monitoring individual and aggregate position limits for each counterparty relative to potential levels of activity, holding and marking to market collateral on certain transactions. Our risk management functions also evaluate the potential risk associated with institutional counterparties with whom we hold derivatives, TBAs and other documented institutional counterparty agreements that may give rise to credit exposure.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Collections Risk</w:t>
      </w:r>
    </w:p>
    <w:p>
      <w:pPr>
        <w:spacing w:after="0" w:line="17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Collections risk arises from ineffective management and monitoring of collecting outstanding debts and obligations, including those related to our customer trading activities. Our client activities involve the execution, settlement and financing of various transactions. Client activities are transacted on a delivery versus payment, cash or margin basis. Our credit exposure to institutional client business is mitigated by the use of industry-standard delivery versus payment through depositories and clearing banks. Our risk management functions have credit risk policies establishing appropriate credit limits and collateralization thresholds for our customers and counterparties.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Risk</w:t>
      </w:r>
    </w:p>
    <w:p>
      <w:pPr>
        <w:spacing w:after="0" w:line="19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Concentration risk is the risk due to concentrated exposure to a particular product; individual issuer, borrower or counterparty; financial instrument; or geographic area. We are subject to concentration risk if we hold large individual securities positions, execute large transactions with individual counterparties or groups of related counterparties, or make substantial underwriting commitments. Potential concentration risk is monitored through review of counterparties and borrowers and is managed using policies and limits established by senior management.</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Within our customer matched-book derivative portfolio, we have concentrated counterparty credit exposure with three non-publicly rated entities totaling $4.4 million at March 31, 2026. This counterparty credit exposure relates to our public finance business and consists primarily of interest rate swaps. One derivative counterparty represented 89.0 percent, or $3.9 million, of this exposure. Credit exposure associated with our derivative counterparties is driven by uncollateralized market movements in the fair value of the interest rate swap contracts and is monitored regularly by our financial risk committee. We attempt to minimize the credit (or repayment) risk in derivative instruments by entering into transactions with high-quality counterparties that are reviewed periodically by senior management.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Operational risk is the risk of loss, or damage to our reputation, resulting from inadequate or failed processes, people and systems or from external events. We rely on the ability of our employees and our systems, both internal and at computer centers operated by third parties, to process a large number of transactions. Our systems may fail to operate properly or become disabled as a result of events that are wholly or partially beyond our control. In the event of a breakdown or improper operation of our systems or improper action by our employees or third-party vendors, we could suffer financial loss, a disruption of our businesses, regulatory sanctions and damage to our reputation. We also face the risk of operational failure or termination of our relationship with any of the exchanges, fully disclosed clearing firms, or other financial intermediaries we use to facilitate our securities transactions. Any such failure or termination could adversely affect our ability to effect transactions and manage our exposure to risk.</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Our operations rely on secure processing, storage and transmission of confidential and other information in our internal and outsourced computer systems and networks. Our computer systems, software and networks may be vulnerable to unauthorized access, computer viruses or other malicious code, internal misconduct or inadvertent errors and other events that could have an information security impact. The occurrence of one or more of these events could jeopardize our or our clients' or counterparties' confidential and other information processed and stored in, and transmitted through, our computer systems and networks, or otherwise cause interruptions or malfunctions in our, our clients', our counterparties' or third parties' operations. We take protective measures and endeavor to modify them as circumstances warrant. A further discussion of our procedures for cybersecurity risk management is included in Part I, Item 1C "Cybersecurity" in our Annual Report on Form 10-K for the year ended December 31, 2025.</w:t>
      </w:r>
    </w:p>
    <w:p>
      <w:pPr>
        <w:spacing w:after="0" w:line="22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order to mitigate and control operational risk, we have developed and continue to enhance policies and procedures that are designed to identify and manage operational risk at appropriate levels throughout the organization. Important aspects of these policies and procedures include segregation of duties, management oversight, internal control over financial reporting and independent risk management activities within such functions as Risk Management, Compliance, Operations, Internal Audit, Treasury, Finance, Information Technology and Legal. Internal Audit oversees, monitors, evaluates, analyzes and reports on operational risk across the firm. We also have business continuity plans in place that we believe will cover critical processes on a company-wide basis, and redundancies are built into our systems as we have deemed appropriate. These control mechanisms attempt to ensure that operational policies and procedures are being followed and that our various businesses are operating within established corporate policies and limits.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operate under a fully disclosed clearing model for all of our securities inventories with the exception of convertible securities, and for all of our client clearing activities. In a fully disclosed clearing model, we act as an introducing broker for client transactions and rely on Pershing, our clearing broker dealer, to facilitate clearance and settlement of our clients' securities transactions. The clearing services provided by Pershing are critical to our business operations, and similar to other services performed by third-party vendors, any failure by Pershing with respect to the services we rely upon Pershing to provide could cause financial loss, significantly disrupt our business, damage our reputation, and adversely affect our ability to serve our clients and manage our exposure to risk.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Risk</w:t>
      </w:r>
    </w:p>
    <w:p>
      <w:pPr>
        <w:spacing w:after="0" w:line="18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business is a human capital business and our success is dependent upon the skills, expertise and performance of our employees. Human capital risks represent the risks posed if we fail to attract and retain qualified individuals who are motivated to serve the best interests of our clients, thereby serving the best interests of our company. Attracting and retaining employees depends, among other things, on our company's culture, management, work environment, geographic locations and compensation. There are risks associated with the proper recruitment, development and rewards of our employees to ensure quality performance and retention.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Legal and regulatory risk includes the risk of non-compliance with applicable legal and regulatory requirements and loss to our reputation we may suffer as a result of failure to comply with laws, regulations, rules, related self-regulatory organization standards and codes of conduct applicable to our business activities. We are generally subject to extensive regulation in the various jurisdictions in which we conduct our business. We have established procedures that are reasonably designed to achieve compliance with applicable statutory and regulatory requirements, such as public company reporting obligations, regulatory net capital requirements, sales and trading practices, potential conflicts of interest, anti-money laundering, privacy, and financial and electronic recordkeeping. We have also established procedures that are reasonably designed to achieve compliance with our policies relating to ethics and business conduct. The legal and regulatory focus on the financial services industry presents a continuing business challenge for us.</w:t>
      </w:r>
    </w:p>
    <w:p>
      <w:pPr>
        <w:spacing w:after="0" w:line="208"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Our business also subjects us to the complex income tax laws of the jurisdictions in which we have business operations, and these tax laws may be subject to different interpretations by the taxpayer and the relevant governmental taxing authorities. We must make judgments and interpretations about the application of these inherently complex tax laws when determining the provision for income taxes.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Because our assets are liquid and generally short-term in nature, they are not significantly affected by inflation. However, the rate of inflation affects our expenses, such as employee compensation, office space occupancy costs, communications charges and travel costs, which may not be readily recoverable in the price of services we offer to our clients. To the extent inflation results in rising interest rates and has adverse effects upon the securities markets, it may adversely affect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b w:val="1"/>
          <w:bCs w:val="1"/>
          <w:color w:val="3F97B5"/>
        </w:rPr>
        <w:t>Item 3. Quantitative and Qualitative Disclosures About Market Risk.</w:t>
      </w:r>
    </w:p>
    <w:p>
      <w:pPr>
        <w:spacing w:after="0" w:line="31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information under the caption "Risk Management" in Part I, Item 2, "Management's Discussion and Analysis of Financial Condition and Results of Operations," in this Quarterly Report on Form 10-Q is incorporated herein by reference.</w:t>
      </w:r>
    </w:p>
    <w:p>
      <w:pPr>
        <w:spacing w:after="0" w:line="173" w:lineRule="exact"/>
        <w:rPr>
          <w:sz w:val="20"/>
          <w:szCs w:val="20"/>
          <w:color w:val="auto"/>
        </w:rPr>
      </w:pPr>
    </w:p>
    <w:p>
      <w:pPr>
        <w:spacing w:after="0"/>
        <w:rPr>
          <w:sz w:val="20"/>
          <w:szCs w:val="20"/>
          <w:color w:val="auto"/>
        </w:rPr>
      </w:pPr>
      <w:r>
        <w:rPr>
          <w:rFonts w:ascii="Arial" w:cs="Arial" w:eastAsia="Arial" w:hAnsi="Arial"/>
          <w:sz w:val="29"/>
          <w:szCs w:val="29"/>
          <w:b w:val="1"/>
          <w:bCs w:val="1"/>
          <w:color w:val="3F97B5"/>
        </w:rPr>
        <w:t>Item 4. Controls and Procedures.</w:t>
      </w:r>
    </w:p>
    <w:p>
      <w:pPr>
        <w:spacing w:after="0" w:line="31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of the end of the period covered by this report, we conducted an evaluation, under the supervision and with the participation of our principal executive officer and our principal financial officer, of our disclosure controls and procedures (as defined in Rules 13a-15(e) and 15d-15(e) under the Securities Exchange Act of 1934, as amended (the "Exchange Act")). Based on this evaluation, our principal executive officer and our principal financial officer concluded that our disclosure controls and procedures are effective to ensure that information required to be disclosed by us in reports that we file or submit under the Exchange Act is (a) recorded, processed, summarized and reported within the time periods specified in SEC rules and forms and (b) accumulated and communicated to our management, including our principal executive officer and our principal financial officer, to allow timely decisions regarding disclosure.</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During the first quarter of our fiscal year ending December 31, 2026, there was no change in our system of internal control over financial reporting (as defined in Rules 13a-15(f) and 15d-15(f) under the Exchange Act) that has materially affected, or is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47"/>
          <w:szCs w:val="47"/>
          <w:b w:val="1"/>
          <w:bCs w:val="1"/>
          <w:color w:val="auto"/>
        </w:rPr>
        <w:t>Part II. Other Information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9"/>
          <w:szCs w:val="29"/>
          <w:b w:val="1"/>
          <w:bCs w:val="1"/>
          <w:color w:val="3F97B5"/>
        </w:rPr>
        <w:t>Item 1. Legal Proceedings.</w:t>
      </w:r>
    </w:p>
    <w:p>
      <w:pPr>
        <w:spacing w:after="0" w:line="31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discussion of our legal proceedings contained in Note 12 to our unaudited consolidated financial statements included in Part I, Item 1 of this Quarterly Report on Form 10-Q is incorporated herein by reference.</w:t>
      </w:r>
    </w:p>
    <w:p>
      <w:pPr>
        <w:spacing w:after="0" w:line="187" w:lineRule="exact"/>
        <w:rPr>
          <w:sz w:val="20"/>
          <w:szCs w:val="20"/>
          <w:color w:val="auto"/>
        </w:rPr>
      </w:pPr>
    </w:p>
    <w:p>
      <w:pPr>
        <w:spacing w:after="0"/>
        <w:rPr>
          <w:sz w:val="20"/>
          <w:szCs w:val="20"/>
          <w:color w:val="auto"/>
        </w:rPr>
      </w:pPr>
      <w:r>
        <w:rPr>
          <w:rFonts w:ascii="Arial" w:cs="Arial" w:eastAsia="Arial" w:hAnsi="Arial"/>
          <w:sz w:val="29"/>
          <w:szCs w:val="29"/>
          <w:b w:val="1"/>
          <w:bCs w:val="1"/>
          <w:color w:val="3F97B5"/>
        </w:rPr>
        <w:t>Item 1A. Risk Factors.</w:t>
      </w:r>
    </w:p>
    <w:p>
      <w:pPr>
        <w:spacing w:after="0" w:line="31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discussion of our business and operations should be read together with the risk factors contained in Part I, Item 1A "Risk Factors" in our Annual Report on Form 10-K for the year ended December 31, 2025.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w:t>
      </w: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7"/>
          <w:szCs w:val="17"/>
          <w:color w:val="auto"/>
        </w:rPr>
        <w:t>There have been no material changes to the risk factors disclosed under Part I, Item 1A "Risk Factors" in our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b w:val="1"/>
          <w:bCs w:val="1"/>
          <w:color w:val="3F97B5"/>
        </w:rPr>
        <w:t>Item 2. Unregistered Sales of Equity Securities and Use of Proceeds.</w:t>
      </w:r>
    </w:p>
    <w:p>
      <w:pPr>
        <w:spacing w:after="0" w:line="31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The table below sets forth the information with respect to purchases made by or on behalf of Piper Sandler Companies or any "affiliated purchaser" (as defined in Rule 10b-18(a)(3) under the Exchange Act), of our common stock during the quarter ended March 31, 2026.</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Total Number of Shares</w:t>
            </w:r>
          </w:p>
        </w:tc>
        <w:tc>
          <w:tcPr>
            <w:tcW w:w="200" w:type="dxa"/>
            <w:vAlign w:val="bottom"/>
          </w:tcPr>
          <w:p>
            <w:pPr>
              <w:spacing w:after="0"/>
              <w:rPr>
                <w:sz w:val="18"/>
                <w:szCs w:val="18"/>
                <w:color w:val="auto"/>
              </w:rPr>
            </w:pPr>
          </w:p>
        </w:tc>
        <w:tc>
          <w:tcPr>
            <w:tcW w:w="1760" w:type="dxa"/>
            <w:vAlign w:val="bottom"/>
          </w:tcPr>
          <w:p>
            <w:pPr>
              <w:jc w:val="center"/>
              <w:ind w:left="201"/>
              <w:spacing w:after="0"/>
              <w:rPr>
                <w:sz w:val="20"/>
                <w:szCs w:val="20"/>
                <w:color w:val="auto"/>
              </w:rPr>
            </w:pPr>
            <w:r>
              <w:rPr>
                <w:rFonts w:ascii="Arial" w:cs="Arial" w:eastAsia="Arial" w:hAnsi="Arial"/>
                <w:sz w:val="16"/>
                <w:szCs w:val="16"/>
                <w:b w:val="1"/>
                <w:bCs w:val="1"/>
                <w:color w:val="auto"/>
                <w:w w:val="97"/>
              </w:rPr>
              <w:t>Approximate Dollar</w:t>
            </w:r>
          </w:p>
        </w:tc>
        <w:tc>
          <w:tcPr>
            <w:tcW w:w="48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6"/>
              </w:rPr>
              <w:t>Total Number</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Average Price</w:t>
            </w:r>
          </w:p>
        </w:tc>
        <w:tc>
          <w:tcPr>
            <w:tcW w:w="2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Purchased as Part of</w:t>
            </w:r>
          </w:p>
        </w:tc>
        <w:tc>
          <w:tcPr>
            <w:tcW w:w="200" w:type="dxa"/>
            <w:vAlign w:val="bottom"/>
          </w:tcPr>
          <w:p>
            <w:pPr>
              <w:spacing w:after="0"/>
              <w:rPr>
                <w:sz w:val="18"/>
                <w:szCs w:val="18"/>
                <w:color w:val="auto"/>
              </w:rPr>
            </w:pPr>
          </w:p>
        </w:tc>
        <w:tc>
          <w:tcPr>
            <w:tcW w:w="2240" w:type="dxa"/>
            <w:vAlign w:val="bottom"/>
            <w:gridSpan w:val="2"/>
          </w:tcPr>
          <w:p>
            <w:pPr>
              <w:jc w:val="center"/>
              <w:ind w:right="121"/>
              <w:spacing w:after="0"/>
              <w:rPr>
                <w:sz w:val="20"/>
                <w:szCs w:val="20"/>
                <w:color w:val="auto"/>
              </w:rPr>
            </w:pPr>
            <w:r>
              <w:rPr>
                <w:rFonts w:ascii="Arial" w:cs="Arial" w:eastAsia="Arial" w:hAnsi="Arial"/>
                <w:sz w:val="16"/>
                <w:szCs w:val="16"/>
                <w:b w:val="1"/>
                <w:bCs w:val="1"/>
                <w:color w:val="auto"/>
                <w:w w:val="97"/>
              </w:rPr>
              <w:t>Value of Shares Yet to be</w:t>
            </w:r>
          </w:p>
        </w:tc>
      </w:tr>
      <w:tr>
        <w:trPr>
          <w:trHeight w:val="216"/>
        </w:trPr>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8"/>
              </w:rPr>
              <w:t>of Shares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Paid per</w:t>
            </w:r>
          </w:p>
        </w:tc>
        <w:tc>
          <w:tcPr>
            <w:tcW w:w="24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8"/>
              </w:rPr>
              <w:t>Publicly Announced</w:t>
            </w:r>
          </w:p>
        </w:tc>
        <w:tc>
          <w:tcPr>
            <w:tcW w:w="200" w:type="dxa"/>
            <w:vAlign w:val="bottom"/>
          </w:tcPr>
          <w:p>
            <w:pPr>
              <w:spacing w:after="0"/>
              <w:rPr>
                <w:sz w:val="18"/>
                <w:szCs w:val="18"/>
                <w:color w:val="auto"/>
              </w:rPr>
            </w:pPr>
          </w:p>
        </w:tc>
        <w:tc>
          <w:tcPr>
            <w:tcW w:w="2240" w:type="dxa"/>
            <w:vAlign w:val="bottom"/>
            <w:gridSpan w:val="2"/>
          </w:tcPr>
          <w:p>
            <w:pPr>
              <w:jc w:val="center"/>
              <w:ind w:right="141"/>
              <w:spacing w:after="0"/>
              <w:rPr>
                <w:sz w:val="20"/>
                <w:szCs w:val="20"/>
                <w:color w:val="auto"/>
              </w:rPr>
            </w:pPr>
            <w:r>
              <w:rPr>
                <w:rFonts w:ascii="Arial" w:cs="Arial" w:eastAsia="Arial" w:hAnsi="Arial"/>
                <w:sz w:val="16"/>
                <w:szCs w:val="16"/>
                <w:b w:val="1"/>
                <w:bCs w:val="1"/>
                <w:color w:val="auto"/>
                <w:w w:val="98"/>
              </w:rPr>
              <w:t>Purchased Under the</w:t>
            </w:r>
          </w:p>
        </w:tc>
      </w:tr>
      <w:tr>
        <w:trPr>
          <w:trHeight w:val="212"/>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00" w:type="dxa"/>
            <w:vAlign w:val="bottom"/>
            <w:tcBorders>
              <w:bottom w:val="single" w:sz="8" w:color="F3F3F3"/>
            </w:tcBorders>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Purchased (1)</w:t>
            </w:r>
          </w:p>
        </w:tc>
        <w:tc>
          <w:tcPr>
            <w:tcW w:w="400" w:type="dxa"/>
            <w:vAlign w:val="bottom"/>
            <w:tcBorders>
              <w:bottom w:val="single" w:sz="8" w:color="F3F3F3"/>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01"/>
              <w:spacing w:after="0"/>
              <w:rPr>
                <w:sz w:val="20"/>
                <w:szCs w:val="20"/>
                <w:color w:val="auto"/>
              </w:rPr>
            </w:pPr>
            <w:r>
              <w:rPr>
                <w:rFonts w:ascii="Arial" w:cs="Arial" w:eastAsia="Arial" w:hAnsi="Arial"/>
                <w:sz w:val="16"/>
                <w:szCs w:val="16"/>
                <w:b w:val="1"/>
                <w:bCs w:val="1"/>
                <w:color w:val="auto"/>
                <w:w w:val="99"/>
              </w:rPr>
              <w:t>Share (1)</w:t>
            </w:r>
          </w:p>
        </w:tc>
        <w:tc>
          <w:tcPr>
            <w:tcW w:w="80" w:type="dxa"/>
            <w:vAlign w:val="bottom"/>
            <w:tcBorders>
              <w:bottom w:val="single" w:sz="8" w:color="F3F3F3"/>
            </w:tcBorders>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 or Programs (1)</w:t>
            </w:r>
          </w:p>
        </w:tc>
        <w:tc>
          <w:tcPr>
            <w:tcW w:w="100" w:type="dxa"/>
            <w:vAlign w:val="bottom"/>
            <w:tcBorders>
              <w:bottom w:val="single" w:sz="8" w:color="F3F3F3"/>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center"/>
              <w:ind w:right="121"/>
              <w:spacing w:after="0"/>
              <w:rPr>
                <w:sz w:val="20"/>
                <w:szCs w:val="20"/>
                <w:color w:val="auto"/>
              </w:rPr>
            </w:pPr>
            <w:r>
              <w:rPr>
                <w:rFonts w:ascii="Arial" w:cs="Arial" w:eastAsia="Arial" w:hAnsi="Arial"/>
                <w:sz w:val="16"/>
                <w:szCs w:val="16"/>
                <w:b w:val="1"/>
                <w:bCs w:val="1"/>
                <w:color w:val="auto"/>
                <w:w w:val="98"/>
              </w:rPr>
              <w:t>Plans or Programs (2)</w:t>
            </w:r>
          </w:p>
        </w:tc>
      </w:tr>
      <w:tr>
        <w:trPr>
          <w:trHeight w:val="205"/>
        </w:trPr>
        <w:tc>
          <w:tcPr>
            <w:tcW w:w="2920" w:type="dxa"/>
            <w:vAlign w:val="bottom"/>
            <w:gridSpan w:val="2"/>
            <w:shd w:val="clear" w:color="auto" w:fill="F3F3F3"/>
          </w:tcPr>
          <w:p>
            <w:pPr>
              <w:ind w:left="20"/>
              <w:spacing w:after="0"/>
              <w:rPr>
                <w:sz w:val="20"/>
                <w:szCs w:val="20"/>
                <w:color w:val="auto"/>
              </w:rPr>
            </w:pPr>
            <w:r>
              <w:rPr>
                <w:rFonts w:ascii="Arial" w:cs="Arial" w:eastAsia="Arial" w:hAnsi="Arial"/>
                <w:sz w:val="16"/>
                <w:szCs w:val="16"/>
                <w:color w:val="auto"/>
              </w:rPr>
              <w:t>Month #1</w:t>
            </w:r>
          </w:p>
        </w:tc>
        <w:tc>
          <w:tcPr>
            <w:tcW w:w="1500" w:type="dxa"/>
            <w:vAlign w:val="bottom"/>
            <w:shd w:val="clear" w:color="auto" w:fill="F3F3F3"/>
          </w:tcPr>
          <w:p>
            <w:pPr>
              <w:spacing w:after="0"/>
              <w:rPr>
                <w:sz w:val="17"/>
                <w:szCs w:val="17"/>
                <w:color w:val="auto"/>
              </w:rPr>
            </w:pPr>
          </w:p>
        </w:tc>
        <w:tc>
          <w:tcPr>
            <w:tcW w:w="400" w:type="dxa"/>
            <w:vAlign w:val="bottom"/>
            <w:shd w:val="clear" w:color="auto" w:fill="F3F3F3"/>
          </w:tcPr>
          <w:p>
            <w:pPr>
              <w:spacing w:after="0"/>
              <w:rPr>
                <w:sz w:val="17"/>
                <w:szCs w:val="17"/>
                <w:color w:val="auto"/>
              </w:rPr>
            </w:pPr>
          </w:p>
        </w:tc>
        <w:tc>
          <w:tcPr>
            <w:tcW w:w="160" w:type="dxa"/>
            <w:vAlign w:val="bottom"/>
            <w:shd w:val="clear" w:color="auto" w:fill="F3F3F3"/>
          </w:tcPr>
          <w:p>
            <w:pPr>
              <w:spacing w:after="0"/>
              <w:rPr>
                <w:sz w:val="17"/>
                <w:szCs w:val="17"/>
                <w:color w:val="auto"/>
              </w:rPr>
            </w:pPr>
          </w:p>
        </w:tc>
        <w:tc>
          <w:tcPr>
            <w:tcW w:w="1340" w:type="dxa"/>
            <w:vAlign w:val="bottom"/>
            <w:shd w:val="clear" w:color="auto" w:fill="F3F3F3"/>
          </w:tcPr>
          <w:p>
            <w:pPr>
              <w:spacing w:after="0"/>
              <w:rPr>
                <w:sz w:val="17"/>
                <w:szCs w:val="17"/>
                <w:color w:val="auto"/>
              </w:rPr>
            </w:pPr>
          </w:p>
        </w:tc>
        <w:tc>
          <w:tcPr>
            <w:tcW w:w="80" w:type="dxa"/>
            <w:vAlign w:val="bottom"/>
            <w:shd w:val="clear" w:color="auto" w:fill="F3F3F3"/>
          </w:tcPr>
          <w:p>
            <w:pPr>
              <w:spacing w:after="0"/>
              <w:rPr>
                <w:sz w:val="17"/>
                <w:szCs w:val="17"/>
                <w:color w:val="auto"/>
              </w:rPr>
            </w:pPr>
          </w:p>
        </w:tc>
        <w:tc>
          <w:tcPr>
            <w:tcW w:w="2300" w:type="dxa"/>
            <w:vAlign w:val="bottom"/>
            <w:shd w:val="clear" w:color="auto" w:fill="F3F3F3"/>
          </w:tcPr>
          <w:p>
            <w:pPr>
              <w:spacing w:after="0"/>
              <w:rPr>
                <w:sz w:val="17"/>
                <w:szCs w:val="17"/>
                <w:color w:val="auto"/>
              </w:rPr>
            </w:pPr>
          </w:p>
        </w:tc>
        <w:tc>
          <w:tcPr>
            <w:tcW w:w="100" w:type="dxa"/>
            <w:vAlign w:val="bottom"/>
            <w:shd w:val="clear" w:color="auto" w:fill="F3F3F3"/>
          </w:tcPr>
          <w:p>
            <w:pPr>
              <w:spacing w:after="0"/>
              <w:rPr>
                <w:sz w:val="17"/>
                <w:szCs w:val="17"/>
                <w:color w:val="auto"/>
              </w:rPr>
            </w:pPr>
          </w:p>
        </w:tc>
        <w:tc>
          <w:tcPr>
            <w:tcW w:w="200" w:type="dxa"/>
            <w:vAlign w:val="bottom"/>
            <w:shd w:val="clear" w:color="auto" w:fill="F3F3F3"/>
          </w:tcPr>
          <w:p>
            <w:pPr>
              <w:spacing w:after="0"/>
              <w:rPr>
                <w:sz w:val="17"/>
                <w:szCs w:val="17"/>
                <w:color w:val="auto"/>
              </w:rPr>
            </w:pPr>
          </w:p>
        </w:tc>
        <w:tc>
          <w:tcPr>
            <w:tcW w:w="1760" w:type="dxa"/>
            <w:vAlign w:val="bottom"/>
            <w:shd w:val="clear" w:color="auto" w:fill="F3F3F3"/>
          </w:tcPr>
          <w:p>
            <w:pPr>
              <w:spacing w:after="0"/>
              <w:rPr>
                <w:sz w:val="17"/>
                <w:szCs w:val="17"/>
                <w:color w:val="auto"/>
              </w:rPr>
            </w:pPr>
          </w:p>
        </w:tc>
        <w:tc>
          <w:tcPr>
            <w:tcW w:w="480" w:type="dxa"/>
            <w:vAlign w:val="bottom"/>
            <w:shd w:val="clear" w:color="auto" w:fill="F3F3F3"/>
          </w:tcPr>
          <w:p>
            <w:pPr>
              <w:spacing w:after="0"/>
              <w:rPr>
                <w:sz w:val="17"/>
                <w:szCs w:val="17"/>
                <w:color w:val="auto"/>
              </w:rPr>
            </w:pPr>
          </w:p>
        </w:tc>
      </w:tr>
      <w:tr>
        <w:trPr>
          <w:trHeight w:val="216"/>
        </w:trPr>
        <w:tc>
          <w:tcPr>
            <w:tcW w:w="2920" w:type="dxa"/>
            <w:vAlign w:val="bottom"/>
            <w:gridSpan w:val="2"/>
            <w:shd w:val="clear" w:color="auto" w:fill="F3F3F3"/>
          </w:tcPr>
          <w:p>
            <w:pPr>
              <w:ind w:left="400"/>
              <w:spacing w:after="0"/>
              <w:rPr>
                <w:sz w:val="20"/>
                <w:szCs w:val="20"/>
                <w:color w:val="auto"/>
              </w:rPr>
            </w:pPr>
            <w:r>
              <w:rPr>
                <w:rFonts w:ascii="Arial" w:cs="Arial" w:eastAsia="Arial" w:hAnsi="Arial"/>
                <w:sz w:val="16"/>
                <w:szCs w:val="16"/>
                <w:color w:val="auto"/>
              </w:rPr>
              <w:t>January 1, 2026 to</w:t>
            </w:r>
          </w:p>
        </w:tc>
        <w:tc>
          <w:tcPr>
            <w:tcW w:w="1500" w:type="dxa"/>
            <w:vAlign w:val="bottom"/>
            <w:shd w:val="clear" w:color="auto" w:fill="F3F3F3"/>
          </w:tcPr>
          <w:p>
            <w:pPr>
              <w:spacing w:after="0"/>
              <w:rPr>
                <w:sz w:val="18"/>
                <w:szCs w:val="18"/>
                <w:color w:val="auto"/>
              </w:rPr>
            </w:pPr>
          </w:p>
        </w:tc>
        <w:tc>
          <w:tcPr>
            <w:tcW w:w="400" w:type="dxa"/>
            <w:vAlign w:val="bottom"/>
            <w:shd w:val="clear" w:color="auto" w:fill="F3F3F3"/>
          </w:tcPr>
          <w:p>
            <w:pPr>
              <w:spacing w:after="0"/>
              <w:rPr>
                <w:sz w:val="18"/>
                <w:szCs w:val="18"/>
                <w:color w:val="auto"/>
              </w:rPr>
            </w:pPr>
          </w:p>
        </w:tc>
        <w:tc>
          <w:tcPr>
            <w:tcW w:w="160" w:type="dxa"/>
            <w:vAlign w:val="bottom"/>
            <w:shd w:val="clear" w:color="auto" w:fill="F3F3F3"/>
          </w:tcPr>
          <w:p>
            <w:pPr>
              <w:spacing w:after="0"/>
              <w:rPr>
                <w:sz w:val="18"/>
                <w:szCs w:val="18"/>
                <w:color w:val="auto"/>
              </w:rPr>
            </w:pPr>
          </w:p>
        </w:tc>
        <w:tc>
          <w:tcPr>
            <w:tcW w:w="1340" w:type="dxa"/>
            <w:vAlign w:val="bottom"/>
            <w:shd w:val="clear" w:color="auto" w:fill="F3F3F3"/>
          </w:tcPr>
          <w:p>
            <w:pPr>
              <w:spacing w:after="0"/>
              <w:rPr>
                <w:sz w:val="18"/>
                <w:szCs w:val="18"/>
                <w:color w:val="auto"/>
              </w:rPr>
            </w:pPr>
          </w:p>
        </w:tc>
        <w:tc>
          <w:tcPr>
            <w:tcW w:w="80" w:type="dxa"/>
            <w:vAlign w:val="bottom"/>
            <w:shd w:val="clear" w:color="auto" w:fill="F3F3F3"/>
          </w:tcPr>
          <w:p>
            <w:pPr>
              <w:spacing w:after="0"/>
              <w:rPr>
                <w:sz w:val="18"/>
                <w:szCs w:val="18"/>
                <w:color w:val="auto"/>
              </w:rPr>
            </w:pPr>
          </w:p>
        </w:tc>
        <w:tc>
          <w:tcPr>
            <w:tcW w:w="230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200" w:type="dxa"/>
            <w:vAlign w:val="bottom"/>
            <w:shd w:val="clear" w:color="auto" w:fill="F3F3F3"/>
          </w:tcPr>
          <w:p>
            <w:pPr>
              <w:spacing w:after="0"/>
              <w:rPr>
                <w:sz w:val="18"/>
                <w:szCs w:val="18"/>
                <w:color w:val="auto"/>
              </w:rPr>
            </w:pPr>
          </w:p>
        </w:tc>
        <w:tc>
          <w:tcPr>
            <w:tcW w:w="176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r>
      <w:tr>
        <w:trPr>
          <w:trHeight w:val="220"/>
        </w:trPr>
        <w:tc>
          <w:tcPr>
            <w:tcW w:w="2920" w:type="dxa"/>
            <w:vAlign w:val="bottom"/>
            <w:gridSpan w:val="2"/>
            <w:shd w:val="clear" w:color="auto" w:fill="F3F3F3"/>
          </w:tcPr>
          <w:p>
            <w:pPr>
              <w:ind w:left="400"/>
              <w:spacing w:after="0"/>
              <w:rPr>
                <w:sz w:val="20"/>
                <w:szCs w:val="20"/>
                <w:color w:val="auto"/>
              </w:rPr>
            </w:pPr>
            <w:r>
              <w:rPr>
                <w:rFonts w:ascii="Arial" w:cs="Arial" w:eastAsia="Arial" w:hAnsi="Arial"/>
                <w:sz w:val="16"/>
                <w:szCs w:val="16"/>
                <w:color w:val="auto"/>
              </w:rPr>
              <w:t>January 31, 2026</w:t>
            </w:r>
          </w:p>
        </w:tc>
        <w:tc>
          <w:tcPr>
            <w:tcW w:w="15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63,840</w:t>
            </w:r>
          </w:p>
        </w:tc>
        <w:tc>
          <w:tcPr>
            <w:tcW w:w="400" w:type="dxa"/>
            <w:vAlign w:val="bottom"/>
            <w:shd w:val="clear" w:color="auto" w:fill="F3F3F3"/>
          </w:tcPr>
          <w:p>
            <w:pPr>
              <w:spacing w:after="0"/>
              <w:rPr>
                <w:sz w:val="19"/>
                <w:szCs w:val="19"/>
                <w:color w:val="auto"/>
              </w:rPr>
            </w:pPr>
          </w:p>
        </w:tc>
        <w:tc>
          <w:tcPr>
            <w:tcW w:w="160" w:type="dxa"/>
            <w:vAlign w:val="bottom"/>
            <w:shd w:val="clear" w:color="auto" w:fill="F3F3F3"/>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F3F3F3"/>
          </w:tcPr>
          <w:p>
            <w:pPr>
              <w:jc w:val="right"/>
              <w:ind w:right="1"/>
              <w:spacing w:after="0"/>
              <w:rPr>
                <w:sz w:val="20"/>
                <w:szCs w:val="20"/>
                <w:color w:val="auto"/>
              </w:rPr>
            </w:pPr>
            <w:r>
              <w:rPr>
                <w:rFonts w:ascii="Arial" w:cs="Arial" w:eastAsia="Arial" w:hAnsi="Arial"/>
                <w:sz w:val="16"/>
                <w:szCs w:val="16"/>
                <w:color w:val="auto"/>
              </w:rPr>
              <w:t>90.54</w:t>
            </w:r>
          </w:p>
        </w:tc>
        <w:tc>
          <w:tcPr>
            <w:tcW w:w="80" w:type="dxa"/>
            <w:vAlign w:val="bottom"/>
            <w:shd w:val="clear" w:color="auto" w:fill="F3F3F3"/>
          </w:tcPr>
          <w:p>
            <w:pPr>
              <w:spacing w:after="0"/>
              <w:rPr>
                <w:sz w:val="19"/>
                <w:szCs w:val="19"/>
                <w:color w:val="auto"/>
              </w:rPr>
            </w:pPr>
          </w:p>
        </w:tc>
        <w:tc>
          <w:tcPr>
            <w:tcW w:w="2300" w:type="dxa"/>
            <w:vAlign w:val="bottom"/>
            <w:shd w:val="clear" w:color="auto" w:fill="F3F3F3"/>
          </w:tcPr>
          <w:p>
            <w:pPr>
              <w:jc w:val="right"/>
              <w:spacing w:after="0"/>
              <w:rPr>
                <w:sz w:val="20"/>
                <w:szCs w:val="20"/>
                <w:color w:val="auto"/>
              </w:rPr>
            </w:pPr>
            <w:r>
              <w:rPr>
                <w:rFonts w:ascii="Arial" w:cs="Arial" w:eastAsia="Arial" w:hAnsi="Arial"/>
                <w:sz w:val="16"/>
                <w:szCs w:val="16"/>
                <w:color w:val="auto"/>
              </w:rPr>
              <w:t>63,840</w:t>
            </w:r>
          </w:p>
        </w:tc>
        <w:tc>
          <w:tcPr>
            <w:tcW w:w="100" w:type="dxa"/>
            <w:vAlign w:val="bottom"/>
            <w:shd w:val="clear" w:color="auto" w:fill="F3F3F3"/>
          </w:tcPr>
          <w:p>
            <w:pPr>
              <w:spacing w:after="0"/>
              <w:rPr>
                <w:sz w:val="19"/>
                <w:szCs w:val="19"/>
                <w:color w:val="auto"/>
              </w:rPr>
            </w:pPr>
          </w:p>
        </w:tc>
        <w:tc>
          <w:tcPr>
            <w:tcW w:w="200" w:type="dxa"/>
            <w:vAlign w:val="bottom"/>
            <w:shd w:val="clear" w:color="auto" w:fill="F3F3F3"/>
          </w:tcPr>
          <w:p>
            <w:pPr>
              <w:jc w:val="right"/>
              <w:ind w:right="21"/>
              <w:spacing w:after="0"/>
              <w:rPr>
                <w:sz w:val="20"/>
                <w:szCs w:val="20"/>
                <w:color w:val="auto"/>
              </w:rPr>
            </w:pPr>
            <w:r>
              <w:rPr>
                <w:rFonts w:ascii="Arial" w:cs="Arial" w:eastAsia="Arial" w:hAnsi="Arial"/>
                <w:sz w:val="16"/>
                <w:szCs w:val="16"/>
                <w:color w:val="auto"/>
                <w:w w:val="89"/>
              </w:rPr>
              <w:t>$</w:t>
            </w:r>
          </w:p>
        </w:tc>
        <w:tc>
          <w:tcPr>
            <w:tcW w:w="1760" w:type="dxa"/>
            <w:vAlign w:val="bottom"/>
            <w:shd w:val="clear" w:color="auto" w:fill="F3F3F3"/>
          </w:tcPr>
          <w:p>
            <w:pPr>
              <w:jc w:val="right"/>
              <w:ind w:right="421"/>
              <w:spacing w:after="0"/>
              <w:rPr>
                <w:sz w:val="20"/>
                <w:szCs w:val="20"/>
                <w:color w:val="auto"/>
              </w:rPr>
            </w:pPr>
            <w:r>
              <w:rPr>
                <w:rFonts w:ascii="Arial" w:cs="Arial" w:eastAsia="Arial" w:hAnsi="Arial"/>
                <w:sz w:val="16"/>
                <w:szCs w:val="16"/>
                <w:color w:val="auto"/>
              </w:rPr>
              <w:t>115.8</w:t>
            </w:r>
          </w:p>
        </w:tc>
        <w:tc>
          <w:tcPr>
            <w:tcW w:w="480" w:type="dxa"/>
            <w:vAlign w:val="bottom"/>
            <w:shd w:val="clear" w:color="auto" w:fill="F3F3F3"/>
          </w:tcPr>
          <w:p>
            <w:pPr>
              <w:ind w:left="20"/>
              <w:spacing w:after="0"/>
              <w:rPr>
                <w:sz w:val="20"/>
                <w:szCs w:val="20"/>
                <w:color w:val="auto"/>
              </w:rPr>
            </w:pPr>
            <w:r>
              <w:rPr>
                <w:rFonts w:ascii="Arial" w:cs="Arial" w:eastAsia="Arial" w:hAnsi="Arial"/>
                <w:sz w:val="16"/>
                <w:szCs w:val="16"/>
                <w:color w:val="auto"/>
                <w:w w:val="96"/>
              </w:rPr>
              <w:t>million</w:t>
            </w:r>
          </w:p>
        </w:tc>
      </w:tr>
      <w:tr>
        <w:trPr>
          <w:trHeight w:val="212"/>
        </w:trPr>
        <w:tc>
          <w:tcPr>
            <w:tcW w:w="2920" w:type="dxa"/>
            <w:vAlign w:val="bottom"/>
            <w:gridSpan w:val="2"/>
          </w:tcPr>
          <w:p>
            <w:pPr>
              <w:ind w:left="20"/>
              <w:spacing w:after="0"/>
              <w:rPr>
                <w:sz w:val="20"/>
                <w:szCs w:val="20"/>
                <w:color w:val="auto"/>
              </w:rPr>
            </w:pPr>
            <w:r>
              <w:rPr>
                <w:rFonts w:ascii="Arial" w:cs="Arial" w:eastAsia="Arial" w:hAnsi="Arial"/>
                <w:sz w:val="16"/>
                <w:szCs w:val="16"/>
                <w:color w:val="auto"/>
              </w:rPr>
              <w:t>Month #2</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2920" w:type="dxa"/>
            <w:vAlign w:val="bottom"/>
            <w:gridSpan w:val="2"/>
          </w:tcPr>
          <w:p>
            <w:pPr>
              <w:ind w:left="400"/>
              <w:spacing w:after="0"/>
              <w:rPr>
                <w:sz w:val="20"/>
                <w:szCs w:val="20"/>
                <w:color w:val="auto"/>
              </w:rPr>
            </w:pPr>
            <w:r>
              <w:rPr>
                <w:rFonts w:ascii="Arial" w:cs="Arial" w:eastAsia="Arial" w:hAnsi="Arial"/>
                <w:sz w:val="16"/>
                <w:szCs w:val="16"/>
                <w:color w:val="auto"/>
              </w:rPr>
              <w:t>February 1, 2026 to</w:t>
            </w:r>
          </w:p>
        </w:tc>
        <w:tc>
          <w:tcPr>
            <w:tcW w:w="1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8"/>
        </w:trPr>
        <w:tc>
          <w:tcPr>
            <w:tcW w:w="2920" w:type="dxa"/>
            <w:vAlign w:val="bottom"/>
            <w:gridSpan w:val="2"/>
          </w:tcPr>
          <w:p>
            <w:pPr>
              <w:ind w:left="400"/>
              <w:spacing w:after="0"/>
              <w:rPr>
                <w:sz w:val="20"/>
                <w:szCs w:val="20"/>
                <w:color w:val="auto"/>
              </w:rPr>
            </w:pPr>
            <w:r>
              <w:rPr>
                <w:rFonts w:ascii="Arial" w:cs="Arial" w:eastAsia="Arial" w:hAnsi="Arial"/>
                <w:sz w:val="16"/>
                <w:szCs w:val="16"/>
                <w:color w:val="auto"/>
              </w:rPr>
              <w:t>February 28, 2026</w:t>
            </w:r>
          </w:p>
        </w:tc>
        <w:tc>
          <w:tcPr>
            <w:tcW w:w="1500" w:type="dxa"/>
            <w:vAlign w:val="bottom"/>
          </w:tcPr>
          <w:p>
            <w:pPr>
              <w:jc w:val="right"/>
              <w:spacing w:after="0"/>
              <w:rPr>
                <w:sz w:val="20"/>
                <w:szCs w:val="20"/>
                <w:color w:val="auto"/>
              </w:rPr>
            </w:pPr>
            <w:r>
              <w:rPr>
                <w:rFonts w:ascii="Arial" w:cs="Arial" w:eastAsia="Arial" w:hAnsi="Arial"/>
                <w:sz w:val="16"/>
                <w:szCs w:val="16"/>
                <w:color w:val="auto"/>
              </w:rPr>
              <w:t>545,244</w:t>
            </w:r>
          </w:p>
        </w:tc>
        <w:tc>
          <w:tcPr>
            <w:tcW w:w="400" w:type="dxa"/>
            <w:vAlign w:val="bottom"/>
          </w:tcPr>
          <w:p>
            <w:pPr>
              <w:jc w:val="right"/>
              <w:ind w:right="101"/>
              <w:spacing w:after="0"/>
              <w:rPr>
                <w:sz w:val="20"/>
                <w:szCs w:val="20"/>
                <w:color w:val="auto"/>
              </w:rPr>
            </w:pPr>
            <w:r>
              <w:rPr>
                <w:rFonts w:ascii="Arial" w:cs="Arial" w:eastAsia="Arial" w:hAnsi="Arial"/>
                <w:sz w:val="16"/>
                <w:szCs w:val="16"/>
                <w:color w:val="auto"/>
              </w:rPr>
              <w:t>(3)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
              <w:spacing w:after="0"/>
              <w:rPr>
                <w:sz w:val="20"/>
                <w:szCs w:val="20"/>
                <w:color w:val="auto"/>
              </w:rPr>
            </w:pPr>
            <w:r>
              <w:rPr>
                <w:rFonts w:ascii="Arial" w:cs="Arial" w:eastAsia="Arial" w:hAnsi="Arial"/>
                <w:sz w:val="16"/>
                <w:szCs w:val="16"/>
                <w:color w:val="auto"/>
              </w:rPr>
              <w:t>80.48</w:t>
            </w:r>
          </w:p>
        </w:tc>
        <w:tc>
          <w:tcPr>
            <w:tcW w:w="80" w:type="dxa"/>
            <w:vAlign w:val="bottom"/>
          </w:tcPr>
          <w:p>
            <w:pPr>
              <w:spacing w:after="0"/>
              <w:rPr>
                <w:sz w:val="18"/>
                <w:szCs w:val="18"/>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86,588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760" w:type="dxa"/>
            <w:vAlign w:val="bottom"/>
          </w:tcPr>
          <w:p>
            <w:pPr>
              <w:jc w:val="right"/>
              <w:ind w:right="421"/>
              <w:spacing w:after="0"/>
              <w:rPr>
                <w:sz w:val="20"/>
                <w:szCs w:val="20"/>
                <w:color w:val="auto"/>
              </w:rPr>
            </w:pPr>
            <w:r>
              <w:rPr>
                <w:rFonts w:ascii="Arial" w:cs="Arial" w:eastAsia="Arial" w:hAnsi="Arial"/>
                <w:sz w:val="16"/>
                <w:szCs w:val="16"/>
                <w:color w:val="auto"/>
              </w:rPr>
              <w:t>108.7</w:t>
            </w:r>
          </w:p>
        </w:tc>
        <w:tc>
          <w:tcPr>
            <w:tcW w:w="480" w:type="dxa"/>
            <w:vAlign w:val="bottom"/>
          </w:tcPr>
          <w:p>
            <w:pPr>
              <w:ind w:left="20"/>
              <w:spacing w:after="0"/>
              <w:rPr>
                <w:sz w:val="20"/>
                <w:szCs w:val="20"/>
                <w:color w:val="auto"/>
              </w:rPr>
            </w:pPr>
            <w:r>
              <w:rPr>
                <w:rFonts w:ascii="Arial" w:cs="Arial" w:eastAsia="Arial" w:hAnsi="Arial"/>
                <w:sz w:val="16"/>
                <w:szCs w:val="16"/>
                <w:color w:val="auto"/>
                <w:w w:val="96"/>
              </w:rPr>
              <w:t>million</w:t>
            </w:r>
          </w:p>
        </w:tc>
      </w:tr>
      <w:tr>
        <w:trPr>
          <w:trHeight w:val="214"/>
        </w:trPr>
        <w:tc>
          <w:tcPr>
            <w:tcW w:w="2920" w:type="dxa"/>
            <w:vAlign w:val="bottom"/>
            <w:gridSpan w:val="2"/>
            <w:shd w:val="clear" w:color="auto" w:fill="F3F3F3"/>
          </w:tcPr>
          <w:p>
            <w:pPr>
              <w:ind w:left="20"/>
              <w:spacing w:after="0"/>
              <w:rPr>
                <w:sz w:val="20"/>
                <w:szCs w:val="20"/>
                <w:color w:val="auto"/>
              </w:rPr>
            </w:pPr>
            <w:r>
              <w:rPr>
                <w:rFonts w:ascii="Arial" w:cs="Arial" w:eastAsia="Arial" w:hAnsi="Arial"/>
                <w:sz w:val="16"/>
                <w:szCs w:val="16"/>
                <w:color w:val="auto"/>
              </w:rPr>
              <w:t>Month #3</w:t>
            </w:r>
          </w:p>
        </w:tc>
        <w:tc>
          <w:tcPr>
            <w:tcW w:w="1500" w:type="dxa"/>
            <w:vAlign w:val="bottom"/>
            <w:shd w:val="clear" w:color="auto" w:fill="F3F3F3"/>
          </w:tcPr>
          <w:p>
            <w:pPr>
              <w:spacing w:after="0"/>
              <w:rPr>
                <w:sz w:val="18"/>
                <w:szCs w:val="18"/>
                <w:color w:val="auto"/>
              </w:rPr>
            </w:pPr>
          </w:p>
        </w:tc>
        <w:tc>
          <w:tcPr>
            <w:tcW w:w="400" w:type="dxa"/>
            <w:vAlign w:val="bottom"/>
            <w:shd w:val="clear" w:color="auto" w:fill="F3F3F3"/>
          </w:tcPr>
          <w:p>
            <w:pPr>
              <w:spacing w:after="0"/>
              <w:rPr>
                <w:sz w:val="18"/>
                <w:szCs w:val="18"/>
                <w:color w:val="auto"/>
              </w:rPr>
            </w:pPr>
          </w:p>
        </w:tc>
        <w:tc>
          <w:tcPr>
            <w:tcW w:w="160" w:type="dxa"/>
            <w:vAlign w:val="bottom"/>
            <w:shd w:val="clear" w:color="auto" w:fill="F3F3F3"/>
          </w:tcPr>
          <w:p>
            <w:pPr>
              <w:spacing w:after="0"/>
              <w:rPr>
                <w:sz w:val="18"/>
                <w:szCs w:val="18"/>
                <w:color w:val="auto"/>
              </w:rPr>
            </w:pPr>
          </w:p>
        </w:tc>
        <w:tc>
          <w:tcPr>
            <w:tcW w:w="1340" w:type="dxa"/>
            <w:vAlign w:val="bottom"/>
            <w:shd w:val="clear" w:color="auto" w:fill="F3F3F3"/>
          </w:tcPr>
          <w:p>
            <w:pPr>
              <w:spacing w:after="0"/>
              <w:rPr>
                <w:sz w:val="18"/>
                <w:szCs w:val="18"/>
                <w:color w:val="auto"/>
              </w:rPr>
            </w:pPr>
          </w:p>
        </w:tc>
        <w:tc>
          <w:tcPr>
            <w:tcW w:w="80" w:type="dxa"/>
            <w:vAlign w:val="bottom"/>
            <w:shd w:val="clear" w:color="auto" w:fill="F3F3F3"/>
          </w:tcPr>
          <w:p>
            <w:pPr>
              <w:spacing w:after="0"/>
              <w:rPr>
                <w:sz w:val="18"/>
                <w:szCs w:val="18"/>
                <w:color w:val="auto"/>
              </w:rPr>
            </w:pPr>
          </w:p>
        </w:tc>
        <w:tc>
          <w:tcPr>
            <w:tcW w:w="230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200" w:type="dxa"/>
            <w:vAlign w:val="bottom"/>
            <w:shd w:val="clear" w:color="auto" w:fill="F3F3F3"/>
          </w:tcPr>
          <w:p>
            <w:pPr>
              <w:spacing w:after="0"/>
              <w:rPr>
                <w:sz w:val="18"/>
                <w:szCs w:val="18"/>
                <w:color w:val="auto"/>
              </w:rPr>
            </w:pPr>
          </w:p>
        </w:tc>
        <w:tc>
          <w:tcPr>
            <w:tcW w:w="176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r>
      <w:tr>
        <w:trPr>
          <w:trHeight w:val="216"/>
        </w:trPr>
        <w:tc>
          <w:tcPr>
            <w:tcW w:w="2920" w:type="dxa"/>
            <w:vAlign w:val="bottom"/>
            <w:gridSpan w:val="2"/>
            <w:shd w:val="clear" w:color="auto" w:fill="F3F3F3"/>
          </w:tcPr>
          <w:p>
            <w:pPr>
              <w:ind w:left="400"/>
              <w:spacing w:after="0"/>
              <w:rPr>
                <w:sz w:val="20"/>
                <w:szCs w:val="20"/>
                <w:color w:val="auto"/>
              </w:rPr>
            </w:pPr>
            <w:r>
              <w:rPr>
                <w:rFonts w:ascii="Arial" w:cs="Arial" w:eastAsia="Arial" w:hAnsi="Arial"/>
                <w:sz w:val="16"/>
                <w:szCs w:val="16"/>
                <w:color w:val="auto"/>
              </w:rPr>
              <w:t>March 1, 2026 to</w:t>
            </w:r>
          </w:p>
        </w:tc>
        <w:tc>
          <w:tcPr>
            <w:tcW w:w="1500" w:type="dxa"/>
            <w:vAlign w:val="bottom"/>
            <w:shd w:val="clear" w:color="auto" w:fill="F3F3F3"/>
          </w:tcPr>
          <w:p>
            <w:pPr>
              <w:spacing w:after="0"/>
              <w:rPr>
                <w:sz w:val="18"/>
                <w:szCs w:val="18"/>
                <w:color w:val="auto"/>
              </w:rPr>
            </w:pPr>
          </w:p>
        </w:tc>
        <w:tc>
          <w:tcPr>
            <w:tcW w:w="400" w:type="dxa"/>
            <w:vAlign w:val="bottom"/>
            <w:shd w:val="clear" w:color="auto" w:fill="F3F3F3"/>
          </w:tcPr>
          <w:p>
            <w:pPr>
              <w:spacing w:after="0"/>
              <w:rPr>
                <w:sz w:val="18"/>
                <w:szCs w:val="18"/>
                <w:color w:val="auto"/>
              </w:rPr>
            </w:pPr>
          </w:p>
        </w:tc>
        <w:tc>
          <w:tcPr>
            <w:tcW w:w="160" w:type="dxa"/>
            <w:vAlign w:val="bottom"/>
            <w:shd w:val="clear" w:color="auto" w:fill="F3F3F3"/>
          </w:tcPr>
          <w:p>
            <w:pPr>
              <w:spacing w:after="0"/>
              <w:rPr>
                <w:sz w:val="18"/>
                <w:szCs w:val="18"/>
                <w:color w:val="auto"/>
              </w:rPr>
            </w:pPr>
          </w:p>
        </w:tc>
        <w:tc>
          <w:tcPr>
            <w:tcW w:w="1340" w:type="dxa"/>
            <w:vAlign w:val="bottom"/>
            <w:shd w:val="clear" w:color="auto" w:fill="F3F3F3"/>
          </w:tcPr>
          <w:p>
            <w:pPr>
              <w:spacing w:after="0"/>
              <w:rPr>
                <w:sz w:val="18"/>
                <w:szCs w:val="18"/>
                <w:color w:val="auto"/>
              </w:rPr>
            </w:pPr>
          </w:p>
        </w:tc>
        <w:tc>
          <w:tcPr>
            <w:tcW w:w="80" w:type="dxa"/>
            <w:vAlign w:val="bottom"/>
            <w:shd w:val="clear" w:color="auto" w:fill="F3F3F3"/>
          </w:tcPr>
          <w:p>
            <w:pPr>
              <w:spacing w:after="0"/>
              <w:rPr>
                <w:sz w:val="18"/>
                <w:szCs w:val="18"/>
                <w:color w:val="auto"/>
              </w:rPr>
            </w:pPr>
          </w:p>
        </w:tc>
        <w:tc>
          <w:tcPr>
            <w:tcW w:w="2300" w:type="dxa"/>
            <w:vAlign w:val="bottom"/>
            <w:shd w:val="clear" w:color="auto" w:fill="F3F3F3"/>
          </w:tcPr>
          <w:p>
            <w:pPr>
              <w:spacing w:after="0"/>
              <w:rPr>
                <w:sz w:val="18"/>
                <w:szCs w:val="18"/>
                <w:color w:val="auto"/>
              </w:rPr>
            </w:pPr>
          </w:p>
        </w:tc>
        <w:tc>
          <w:tcPr>
            <w:tcW w:w="100" w:type="dxa"/>
            <w:vAlign w:val="bottom"/>
            <w:shd w:val="clear" w:color="auto" w:fill="F3F3F3"/>
          </w:tcPr>
          <w:p>
            <w:pPr>
              <w:spacing w:after="0"/>
              <w:rPr>
                <w:sz w:val="18"/>
                <w:szCs w:val="18"/>
                <w:color w:val="auto"/>
              </w:rPr>
            </w:pPr>
          </w:p>
        </w:tc>
        <w:tc>
          <w:tcPr>
            <w:tcW w:w="200" w:type="dxa"/>
            <w:vAlign w:val="bottom"/>
            <w:shd w:val="clear" w:color="auto" w:fill="F3F3F3"/>
          </w:tcPr>
          <w:p>
            <w:pPr>
              <w:spacing w:after="0"/>
              <w:rPr>
                <w:sz w:val="18"/>
                <w:szCs w:val="18"/>
                <w:color w:val="auto"/>
              </w:rPr>
            </w:pPr>
          </w:p>
        </w:tc>
        <w:tc>
          <w:tcPr>
            <w:tcW w:w="1760" w:type="dxa"/>
            <w:vAlign w:val="bottom"/>
            <w:shd w:val="clear" w:color="auto" w:fill="F3F3F3"/>
          </w:tcPr>
          <w:p>
            <w:pPr>
              <w:spacing w:after="0"/>
              <w:rPr>
                <w:sz w:val="18"/>
                <w:szCs w:val="18"/>
                <w:color w:val="auto"/>
              </w:rPr>
            </w:pPr>
          </w:p>
        </w:tc>
        <w:tc>
          <w:tcPr>
            <w:tcW w:w="480" w:type="dxa"/>
            <w:vAlign w:val="bottom"/>
            <w:shd w:val="clear" w:color="auto" w:fill="F3F3F3"/>
          </w:tcPr>
          <w:p>
            <w:pPr>
              <w:spacing w:after="0"/>
              <w:rPr>
                <w:sz w:val="18"/>
                <w:szCs w:val="18"/>
                <w:color w:val="auto"/>
              </w:rPr>
            </w:pPr>
          </w:p>
        </w:tc>
      </w:tr>
      <w:tr>
        <w:trPr>
          <w:trHeight w:val="218"/>
        </w:trPr>
        <w:tc>
          <w:tcPr>
            <w:tcW w:w="2920" w:type="dxa"/>
            <w:vAlign w:val="bottom"/>
            <w:gridSpan w:val="2"/>
            <w:shd w:val="clear" w:color="auto" w:fill="F3F3F3"/>
          </w:tcPr>
          <w:p>
            <w:pPr>
              <w:ind w:left="400"/>
              <w:spacing w:after="0"/>
              <w:rPr>
                <w:sz w:val="20"/>
                <w:szCs w:val="20"/>
                <w:color w:val="auto"/>
              </w:rPr>
            </w:pPr>
            <w:r>
              <w:rPr>
                <w:rFonts w:ascii="Arial" w:cs="Arial" w:eastAsia="Arial" w:hAnsi="Arial"/>
                <w:sz w:val="16"/>
                <w:szCs w:val="16"/>
                <w:color w:val="auto"/>
              </w:rPr>
              <w:t>March 31, 2026</w:t>
            </w:r>
          </w:p>
        </w:tc>
        <w:tc>
          <w:tcPr>
            <w:tcW w:w="15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6"/>
                <w:szCs w:val="16"/>
                <w:color w:val="auto"/>
              </w:rPr>
              <w:t>274,720</w:t>
            </w:r>
          </w:p>
        </w:tc>
        <w:tc>
          <w:tcPr>
            <w:tcW w:w="400" w:type="dxa"/>
            <w:vAlign w:val="bottom"/>
            <w:shd w:val="clear" w:color="auto" w:fill="F3F3F3"/>
          </w:tcPr>
          <w:p>
            <w:pPr>
              <w:spacing w:after="0"/>
              <w:rPr>
                <w:sz w:val="18"/>
                <w:szCs w:val="18"/>
                <w:color w:val="auto"/>
              </w:rPr>
            </w:pPr>
          </w:p>
        </w:tc>
        <w:tc>
          <w:tcPr>
            <w:tcW w:w="16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F3F3F3"/>
          </w:tcPr>
          <w:p>
            <w:pPr>
              <w:jc w:val="right"/>
              <w:ind w:right="1"/>
              <w:spacing w:after="0"/>
              <w:rPr>
                <w:sz w:val="20"/>
                <w:szCs w:val="20"/>
                <w:color w:val="auto"/>
              </w:rPr>
            </w:pPr>
            <w:r>
              <w:rPr>
                <w:rFonts w:ascii="Arial" w:cs="Arial" w:eastAsia="Arial" w:hAnsi="Arial"/>
                <w:sz w:val="16"/>
                <w:szCs w:val="16"/>
                <w:color w:val="auto"/>
              </w:rPr>
              <w:t>73.64</w:t>
            </w:r>
          </w:p>
        </w:tc>
        <w:tc>
          <w:tcPr>
            <w:tcW w:w="80" w:type="dxa"/>
            <w:vAlign w:val="bottom"/>
            <w:shd w:val="clear" w:color="auto" w:fill="F3F3F3"/>
          </w:tcPr>
          <w:p>
            <w:pPr>
              <w:spacing w:after="0"/>
              <w:rPr>
                <w:sz w:val="18"/>
                <w:szCs w:val="18"/>
                <w:color w:val="auto"/>
              </w:rPr>
            </w:pPr>
          </w:p>
        </w:tc>
        <w:tc>
          <w:tcPr>
            <w:tcW w:w="2300" w:type="dxa"/>
            <w:vAlign w:val="bottom"/>
            <w:tcBorders>
              <w:bottom w:val="single" w:sz="8" w:color="auto"/>
            </w:tcBorders>
            <w:shd w:val="clear" w:color="auto" w:fill="F3F3F3"/>
          </w:tcPr>
          <w:p>
            <w:pPr>
              <w:jc w:val="right"/>
              <w:spacing w:after="0"/>
              <w:rPr>
                <w:sz w:val="20"/>
                <w:szCs w:val="20"/>
                <w:color w:val="auto"/>
              </w:rPr>
            </w:pPr>
            <w:r>
              <w:rPr>
                <w:rFonts w:ascii="Arial" w:cs="Arial" w:eastAsia="Arial" w:hAnsi="Arial"/>
                <w:sz w:val="16"/>
                <w:szCs w:val="16"/>
                <w:color w:val="auto"/>
              </w:rPr>
              <w:t>274,720</w:t>
            </w:r>
          </w:p>
        </w:tc>
        <w:tc>
          <w:tcPr>
            <w:tcW w:w="100" w:type="dxa"/>
            <w:vAlign w:val="bottom"/>
            <w:shd w:val="clear" w:color="auto" w:fill="F3F3F3"/>
          </w:tcPr>
          <w:p>
            <w:pPr>
              <w:spacing w:after="0"/>
              <w:rPr>
                <w:sz w:val="18"/>
                <w:szCs w:val="18"/>
                <w:color w:val="auto"/>
              </w:rPr>
            </w:pPr>
          </w:p>
        </w:tc>
        <w:tc>
          <w:tcPr>
            <w:tcW w:w="200" w:type="dxa"/>
            <w:vAlign w:val="bottom"/>
            <w:tcBorders>
              <w:bottom w:val="single" w:sz="8" w:color="auto"/>
            </w:tcBorders>
            <w:shd w:val="clear" w:color="auto" w:fill="F3F3F3"/>
          </w:tcPr>
          <w:p>
            <w:pPr>
              <w:jc w:val="right"/>
              <w:ind w:right="21"/>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F3F3F3"/>
          </w:tcPr>
          <w:p>
            <w:pPr>
              <w:jc w:val="right"/>
              <w:ind w:right="421"/>
              <w:spacing w:after="0"/>
              <w:rPr>
                <w:sz w:val="20"/>
                <w:szCs w:val="20"/>
                <w:color w:val="auto"/>
              </w:rPr>
            </w:pPr>
            <w:r>
              <w:rPr>
                <w:rFonts w:ascii="Arial" w:cs="Arial" w:eastAsia="Arial" w:hAnsi="Arial"/>
                <w:sz w:val="16"/>
                <w:szCs w:val="16"/>
                <w:color w:val="auto"/>
              </w:rPr>
              <w:t>88.5</w:t>
            </w:r>
          </w:p>
        </w:tc>
        <w:tc>
          <w:tcPr>
            <w:tcW w:w="480" w:type="dxa"/>
            <w:vAlign w:val="bottom"/>
            <w:tcBorders>
              <w:bottom w:val="single" w:sz="8" w:color="auto"/>
            </w:tcBorders>
            <w:shd w:val="clear" w:color="auto" w:fill="F3F3F3"/>
          </w:tcPr>
          <w:p>
            <w:pPr>
              <w:ind w:left="20"/>
              <w:spacing w:after="0"/>
              <w:rPr>
                <w:sz w:val="20"/>
                <w:szCs w:val="20"/>
                <w:color w:val="auto"/>
              </w:rPr>
            </w:pPr>
            <w:r>
              <w:rPr>
                <w:rFonts w:ascii="Arial" w:cs="Arial" w:eastAsia="Arial" w:hAnsi="Arial"/>
                <w:sz w:val="16"/>
                <w:szCs w:val="16"/>
                <w:color w:val="auto"/>
                <w:w w:val="96"/>
              </w:rPr>
              <w:t>million</w:t>
            </w:r>
          </w:p>
        </w:tc>
      </w:tr>
      <w:tr>
        <w:trPr>
          <w:trHeight w:val="211"/>
        </w:trPr>
        <w:tc>
          <w:tcPr>
            <w:tcW w:w="29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883,804</w:t>
            </w:r>
          </w:p>
        </w:tc>
        <w:tc>
          <w:tcPr>
            <w:tcW w:w="4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79.08</w:t>
            </w:r>
          </w:p>
        </w:tc>
        <w:tc>
          <w:tcPr>
            <w:tcW w:w="80" w:type="dxa"/>
            <w:vAlign w:val="bottom"/>
          </w:tcPr>
          <w:p>
            <w:pPr>
              <w:spacing w:after="0"/>
              <w:rPr>
                <w:sz w:val="18"/>
                <w:szCs w:val="18"/>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425,148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88.5</w:t>
            </w: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6"/>
              </w:rPr>
              <w:t>million</w:t>
            </w:r>
          </w:p>
        </w:tc>
      </w:tr>
      <w:tr>
        <w:trPr>
          <w:trHeight w:val="21"/>
        </w:trPr>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31" w:lineRule="exact"/>
        <w:rPr>
          <w:sz w:val="20"/>
          <w:szCs w:val="20"/>
          <w:color w:val="auto"/>
        </w:rPr>
      </w:pPr>
    </w:p>
    <w:p>
      <w:pPr>
        <w:ind w:left="400" w:right="20" w:hanging="374"/>
        <w:spacing w:after="0" w:line="182" w:lineRule="auto"/>
        <w:tabs>
          <w:tab w:leader="none" w:pos="400" w:val="left"/>
        </w:tabs>
        <w:numPr>
          <w:ilvl w:val="0"/>
          <w:numId w:val="18"/>
        </w:numPr>
        <w:rPr>
          <w:rFonts w:ascii="Arial" w:cs="Arial" w:eastAsia="Arial" w:hAnsi="Arial"/>
          <w:sz w:val="26"/>
          <w:szCs w:val="26"/>
          <w:i w:val="1"/>
          <w:iCs w:val="1"/>
          <w:color w:val="auto"/>
          <w:vertAlign w:val="superscript"/>
        </w:rPr>
      </w:pPr>
      <w:r>
        <w:rPr>
          <w:rFonts w:ascii="Arial" w:cs="Arial" w:eastAsia="Arial" w:hAnsi="Arial"/>
          <w:sz w:val="14"/>
          <w:szCs w:val="14"/>
          <w:i w:val="1"/>
          <w:iCs w:val="1"/>
          <w:color w:val="auto"/>
        </w:rPr>
        <w:t>Common shares and per common share information have been adjusted to reflect the four-for-one forward split of common stock. See Note 1 to our unaudited consolidated financial statements included in Part I, Item 1 of this Quarterly Report on Form 10-Q.</w:t>
      </w:r>
    </w:p>
    <w:p>
      <w:pPr>
        <w:ind w:left="400" w:hanging="374"/>
        <w:spacing w:after="0" w:line="194" w:lineRule="auto"/>
        <w:tabs>
          <w:tab w:leader="none" w:pos="400" w:val="left"/>
        </w:tabs>
        <w:numPr>
          <w:ilvl w:val="0"/>
          <w:numId w:val="18"/>
        </w:numPr>
        <w:rPr>
          <w:rFonts w:ascii="Arial" w:cs="Arial" w:eastAsia="Arial" w:hAnsi="Arial"/>
          <w:sz w:val="29"/>
          <w:szCs w:val="29"/>
          <w:i w:val="1"/>
          <w:iCs w:val="1"/>
          <w:color w:val="auto"/>
          <w:vertAlign w:val="superscript"/>
        </w:rPr>
      </w:pPr>
      <w:r>
        <w:rPr>
          <w:rFonts w:ascii="Arial" w:cs="Arial" w:eastAsia="Arial" w:hAnsi="Arial"/>
          <w:sz w:val="15"/>
          <w:szCs w:val="15"/>
          <w:i w:val="1"/>
          <w:iCs w:val="1"/>
          <w:color w:val="auto"/>
        </w:rPr>
        <w:t>Effective February 5, 2025, our board of directors authorized the repurchase of up to $150.0 million of common stock through December 31, 2026.</w:t>
      </w:r>
    </w:p>
    <w:p>
      <w:pPr>
        <w:spacing w:after="0" w:line="70" w:lineRule="exact"/>
        <w:rPr>
          <w:rFonts w:ascii="Arial" w:cs="Arial" w:eastAsia="Arial" w:hAnsi="Arial"/>
          <w:sz w:val="29"/>
          <w:szCs w:val="29"/>
          <w:i w:val="1"/>
          <w:iCs w:val="1"/>
          <w:color w:val="auto"/>
          <w:vertAlign w:val="superscript"/>
        </w:rPr>
      </w:pPr>
    </w:p>
    <w:p>
      <w:pPr>
        <w:jc w:val="both"/>
        <w:ind w:left="400" w:right="20" w:hanging="374"/>
        <w:spacing w:after="0" w:line="181" w:lineRule="auto"/>
        <w:tabs>
          <w:tab w:leader="none" w:pos="400" w:val="left"/>
        </w:tabs>
        <w:numPr>
          <w:ilvl w:val="0"/>
          <w:numId w:val="18"/>
        </w:numPr>
        <w:rPr>
          <w:rFonts w:ascii="Arial" w:cs="Arial" w:eastAsia="Arial" w:hAnsi="Arial"/>
          <w:sz w:val="27"/>
          <w:szCs w:val="27"/>
          <w:i w:val="1"/>
          <w:iCs w:val="1"/>
          <w:color w:val="auto"/>
          <w:vertAlign w:val="superscript"/>
        </w:rPr>
      </w:pPr>
      <w:r>
        <w:rPr>
          <w:rFonts w:ascii="Arial" w:cs="Arial" w:eastAsia="Arial" w:hAnsi="Arial"/>
          <w:sz w:val="15"/>
          <w:szCs w:val="15"/>
          <w:i w:val="1"/>
          <w:iCs w:val="1"/>
          <w:color w:val="auto"/>
        </w:rPr>
        <w:t>Consists of 86,588 shares of common stock repurchased on the open market pursuant to a 10b5-1 plan established with an independent agent at an average price of $81.25 per share, and 458,656 shares of common stock withheld from recipients of restricted stock to pay taxes upon the vesting of the restricted stock at an average price of $80.33 per share.</w:t>
      </w:r>
    </w:p>
    <w:p>
      <w:pPr>
        <w:spacing w:after="0" w:line="312" w:lineRule="exact"/>
        <w:rPr>
          <w:sz w:val="20"/>
          <w:szCs w:val="20"/>
          <w:color w:val="auto"/>
        </w:rPr>
      </w:pPr>
    </w:p>
    <w:p>
      <w:pPr>
        <w:spacing w:after="0"/>
        <w:rPr>
          <w:sz w:val="20"/>
          <w:szCs w:val="20"/>
          <w:color w:val="auto"/>
        </w:rPr>
      </w:pPr>
      <w:r>
        <w:rPr>
          <w:rFonts w:ascii="Arial" w:cs="Arial" w:eastAsia="Arial" w:hAnsi="Arial"/>
          <w:sz w:val="29"/>
          <w:szCs w:val="29"/>
          <w:b w:val="1"/>
          <w:bCs w:val="1"/>
          <w:color w:val="3F97B5"/>
        </w:rPr>
        <w:t>Item 3. Defaults Upon Senior Securities.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3F97B5"/>
        </w:rPr>
        <w:t>Item 4. Mine Safety Disclosures.</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38" w:lineRule="exact"/>
        <w:rPr>
          <w:sz w:val="20"/>
          <w:szCs w:val="20"/>
          <w:color w:val="auto"/>
        </w:rPr>
      </w:pPr>
    </w:p>
    <w:p>
      <w:pPr>
        <w:spacing w:after="0"/>
        <w:rPr>
          <w:sz w:val="20"/>
          <w:szCs w:val="20"/>
          <w:color w:val="auto"/>
        </w:rPr>
      </w:pPr>
      <w:r>
        <w:rPr>
          <w:rFonts w:ascii="Arial" w:cs="Arial" w:eastAsia="Arial" w:hAnsi="Arial"/>
          <w:sz w:val="29"/>
          <w:szCs w:val="29"/>
          <w:b w:val="1"/>
          <w:bCs w:val="1"/>
          <w:color w:val="3F97B5"/>
        </w:rPr>
        <w:t>Item 5. Other Information.</w:t>
      </w:r>
    </w:p>
    <w:p>
      <w:pPr>
        <w:spacing w:after="0" w:line="313"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During the quarter ended March 31, 2026, no director or officer of the Company adopted or terminated any "Rule 10b5-1 trading arrangement" or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u w:val="single" w:color="auto"/>
          <w:color w:val="3F97B5"/>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29"/>
          <w:szCs w:val="29"/>
          <w:b w:val="1"/>
          <w:bCs w:val="1"/>
          <w:color w:val="3F97B5"/>
        </w:rPr>
        <w:t>Item 6. Exhibits.</w:t>
      </w:r>
    </w:p>
    <w:p>
      <w:pPr>
        <w:spacing w:after="0" w:line="353" w:lineRule="exact"/>
        <w:rPr>
          <w:sz w:val="20"/>
          <w:szCs w:val="20"/>
          <w:color w:val="auto"/>
        </w:rPr>
      </w:pPr>
    </w:p>
    <w:p>
      <w:pPr>
        <w:ind w:left="180"/>
        <w:spacing w:after="0"/>
        <w:tabs>
          <w:tab w:leader="none" w:pos="1000" w:val="left"/>
        </w:tabs>
        <w:rPr>
          <w:sz w:val="20"/>
          <w:szCs w:val="20"/>
          <w:color w:val="auto"/>
        </w:rPr>
      </w:pPr>
      <w:r>
        <w:rPr>
          <w:rFonts w:ascii="Arial" w:cs="Arial" w:eastAsia="Arial" w:hAnsi="Arial"/>
          <w:sz w:val="17"/>
          <w:szCs w:val="17"/>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 w:lineRule="exact"/>
        <w:rPr>
          <w:sz w:val="20"/>
          <w:szCs w:val="20"/>
          <w:color w:val="auto"/>
        </w:rPr>
      </w:pPr>
    </w:p>
    <w:p>
      <w:pPr>
        <w:ind w:left="380"/>
        <w:spacing w:after="0"/>
        <w:tabs>
          <w:tab w:leader="none" w:pos="1000" w:val="left"/>
        </w:tabs>
        <w:rPr>
          <w:rFonts w:ascii="Arial" w:cs="Arial" w:eastAsia="Arial" w:hAnsi="Arial"/>
          <w:sz w:val="17"/>
          <w:szCs w:val="17"/>
          <w:color w:val="auto"/>
        </w:rPr>
      </w:pPr>
      <w:r>
        <w:rPr>
          <w:rFonts w:ascii="Arial" w:cs="Arial" w:eastAsia="Arial" w:hAnsi="Arial"/>
          <w:sz w:val="17"/>
          <w:szCs w:val="17"/>
          <w:color w:val="auto"/>
        </w:rPr>
        <w:t>3.1</w:t>
      </w:r>
      <w:r>
        <w:rPr>
          <w:sz w:val="20"/>
          <w:szCs w:val="20"/>
          <w:color w:val="auto"/>
        </w:rPr>
        <w:tab/>
      </w:r>
      <w:hyperlink r:id="rId71">
        <w:r>
          <w:rPr>
            <w:rFonts w:ascii="Arial" w:cs="Arial" w:eastAsia="Arial" w:hAnsi="Arial"/>
            <w:sz w:val="17"/>
            <w:szCs w:val="17"/>
            <w:color w:val="auto"/>
          </w:rPr>
          <w:t>Amended and Restated Certificate of Incorporation (incorporated by reference to Exhibit 3.1 to the Company's Current Report on Form</w:t>
        </w:r>
      </w:hyperlink>
    </w:p>
    <w:p>
      <w:pPr>
        <w:ind w:left="1020"/>
        <w:spacing w:after="0"/>
        <w:rPr>
          <w:rFonts w:ascii="Arial" w:cs="Arial" w:eastAsia="Arial" w:hAnsi="Arial"/>
          <w:sz w:val="17"/>
          <w:szCs w:val="17"/>
          <w:color w:val="auto"/>
        </w:rPr>
      </w:pPr>
      <w:hyperlink r:id="rId71">
        <w:r>
          <w:rPr>
            <w:rFonts w:ascii="Arial" w:cs="Arial" w:eastAsia="Arial" w:hAnsi="Arial"/>
            <w:sz w:val="17"/>
            <w:szCs w:val="17"/>
            <w:color w:val="auto"/>
          </w:rPr>
          <w:t>8-K, filed May 18,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20" w:right="640" w:hanging="635"/>
        <w:spacing w:after="0" w:line="248" w:lineRule="auto"/>
        <w:tabs>
          <w:tab w:leader="none" w:pos="1000" w:val="left"/>
        </w:tabs>
        <w:rPr>
          <w:rFonts w:ascii="Arial" w:cs="Arial" w:eastAsia="Arial" w:hAnsi="Arial"/>
          <w:sz w:val="17"/>
          <w:szCs w:val="17"/>
          <w:color w:val="auto"/>
        </w:rPr>
      </w:pPr>
      <w:r>
        <w:rPr>
          <w:rFonts w:ascii="Arial" w:cs="Arial" w:eastAsia="Arial" w:hAnsi="Arial"/>
          <w:sz w:val="17"/>
          <w:szCs w:val="17"/>
          <w:color w:val="auto"/>
        </w:rPr>
        <w:t>3.2</w:t>
      </w:r>
      <w:r>
        <w:rPr>
          <w:sz w:val="20"/>
          <w:szCs w:val="20"/>
          <w:color w:val="auto"/>
        </w:rPr>
        <w:tab/>
      </w:r>
      <w:hyperlink r:id="rId73">
        <w:r>
          <w:rPr>
            <w:rFonts w:ascii="Arial" w:cs="Arial" w:eastAsia="Arial" w:hAnsi="Arial"/>
            <w:sz w:val="17"/>
            <w:szCs w:val="17"/>
            <w:color w:val="auto"/>
          </w:rPr>
          <w:t>Certificate of Amendment of Amended and Restated Certificate of Incorporation (incorporated by reference to Exhibit 3.1 to the</w:t>
        </w:r>
      </w:hyperlink>
      <w:r>
        <w:rPr>
          <w:rFonts w:ascii="Arial" w:cs="Arial" w:eastAsia="Arial" w:hAnsi="Arial"/>
          <w:sz w:val="17"/>
          <w:szCs w:val="17"/>
          <w:color w:val="auto"/>
        </w:rPr>
        <w:t xml:space="preserve"> </w:t>
      </w:r>
      <w:hyperlink r:id="rId73">
        <w:r>
          <w:rPr>
            <w:rFonts w:ascii="Arial" w:cs="Arial" w:eastAsia="Arial" w:hAnsi="Arial"/>
            <w:sz w:val="17"/>
            <w:szCs w:val="17"/>
            <w:color w:val="auto"/>
          </w:rPr>
          <w:t>Company's Current Report on Form 8-K, filed March 23, 2026).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20" w:right="20" w:hanging="635"/>
        <w:spacing w:after="0" w:line="248" w:lineRule="auto"/>
        <w:tabs>
          <w:tab w:leader="none" w:pos="1000" w:val="left"/>
        </w:tabs>
        <w:rPr>
          <w:rFonts w:ascii="Arial" w:cs="Arial" w:eastAsia="Arial" w:hAnsi="Arial"/>
          <w:sz w:val="17"/>
          <w:szCs w:val="17"/>
          <w:color w:val="auto"/>
        </w:rPr>
      </w:pPr>
      <w:r>
        <w:rPr>
          <w:rFonts w:ascii="Arial" w:cs="Arial" w:eastAsia="Arial" w:hAnsi="Arial"/>
          <w:sz w:val="17"/>
          <w:szCs w:val="17"/>
          <w:color w:val="auto"/>
        </w:rPr>
        <w:t>3.3</w:t>
      </w:r>
      <w:r>
        <w:rPr>
          <w:sz w:val="20"/>
          <w:szCs w:val="20"/>
          <w:color w:val="auto"/>
        </w:rPr>
        <w:tab/>
      </w:r>
      <w:hyperlink r:id="rId75">
        <w:r>
          <w:rPr>
            <w:rFonts w:ascii="Arial" w:cs="Arial" w:eastAsia="Arial" w:hAnsi="Arial"/>
            <w:sz w:val="17"/>
            <w:szCs w:val="17"/>
            <w:color w:val="auto"/>
          </w:rPr>
          <w:t>Amended and Restated Bylaws (as of February 9, 2023) (incorporated by reference to Exhibit 3.1 to the Company's Current Report on</w:t>
        </w:r>
      </w:hyperlink>
      <w:r>
        <w:rPr>
          <w:rFonts w:ascii="Arial" w:cs="Arial" w:eastAsia="Arial" w:hAnsi="Arial"/>
          <w:sz w:val="17"/>
          <w:szCs w:val="17"/>
          <w:color w:val="auto"/>
        </w:rPr>
        <w:t xml:space="preserve"> </w:t>
      </w:r>
      <w:hyperlink r:id="rId75">
        <w:r>
          <w:rPr>
            <w:rFonts w:ascii="Arial" w:cs="Arial" w:eastAsia="Arial" w:hAnsi="Arial"/>
            <w:sz w:val="17"/>
            <w:szCs w:val="17"/>
            <w:color w:val="auto"/>
          </w:rPr>
          <w:t>Form 8-K, filed February 10,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spacing w:after="0"/>
        <w:tabs>
          <w:tab w:leader="none" w:pos="100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7"/>
          <w:szCs w:val="17"/>
          <w:color w:val="auto"/>
        </w:rPr>
        <w:t>Rule 13a-14(a)/15d-14(a) Certification of Chairman and Chief Executive Officer.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ind w:left="340"/>
        <w:spacing w:after="0"/>
        <w:tabs>
          <w:tab w:leader="none" w:pos="100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7"/>
          <w:szCs w:val="17"/>
          <w:color w:val="auto"/>
        </w:rPr>
        <w:t>Rule 13a-14(a)/15d-14(a) Certification of Chief Financial Officer.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ind w:left="340"/>
        <w:spacing w:after="0"/>
        <w:tabs>
          <w:tab w:leader="none" w:pos="100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7"/>
          <w:szCs w:val="17"/>
          <w:color w:val="auto"/>
        </w:rPr>
        <w:t>Section 1350 Certifications.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 w:lineRule="exact"/>
        <w:rPr>
          <w:sz w:val="20"/>
          <w:szCs w:val="20"/>
          <w:color w:val="auto"/>
        </w:rPr>
      </w:pPr>
    </w:p>
    <w:p>
      <w:pPr>
        <w:jc w:val="both"/>
        <w:ind w:left="1020" w:right="20" w:hanging="655"/>
        <w:spacing w:after="0" w:line="226"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following financial information from our Quarterly Report on Form 10-Q for the quarter ended March 31, 2026, formatted in iXBRL (inline eXtensible Business Reporting Language): (i) the Consolidated Statements of Financial Condition, (ii) the Consolidated Statements of Operations, (iii) the Consolidated Statements of Comprehensive Income, (iv) the Consolidated Statements of Changes in Shareholders' Equity, (v) the Consolidated Statements of Cash Flows and (vi) the Notes to the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020" w:right="20" w:hanging="655"/>
        <w:spacing w:after="0" w:line="251" w:lineRule="auto"/>
        <w:tabs>
          <w:tab w:leader="none" w:pos="10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cover page from our Quarterly Report on Form 10-Q for the quarter ended March 31, 2026, formatted in iXBRL and included in Exhibit 101. *</w:t>
      </w:r>
    </w:p>
    <w:p>
      <w:pPr>
        <w:spacing w:after="0" w:line="122"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5"/>
          <w:szCs w:val="15"/>
          <w:i w:val="1"/>
          <w:iCs w:val="1"/>
          <w:color w:val="auto"/>
        </w:rPr>
        <w:t>*  Filed herewith.</w:t>
      </w:r>
    </w:p>
    <w:p>
      <w:pPr>
        <w:spacing w:after="0" w:line="111" w:lineRule="exact"/>
        <w:rPr>
          <w:rFonts w:ascii="Arial" w:cs="Arial" w:eastAsia="Arial" w:hAnsi="Arial"/>
          <w:sz w:val="17"/>
          <w:szCs w:val="17"/>
          <w:color w:val="auto"/>
        </w:rPr>
      </w:pPr>
    </w:p>
    <w:p>
      <w:pPr>
        <w:ind w:left="300" w:hanging="292"/>
        <w:spacing w:after="0"/>
        <w:tabs>
          <w:tab w:leader="none" w:pos="300" w:val="left"/>
        </w:tabs>
        <w:numPr>
          <w:ilvl w:val="0"/>
          <w:numId w:val="21"/>
        </w:numPr>
        <w:rPr>
          <w:rFonts w:ascii="Arial" w:cs="Arial" w:eastAsia="Arial" w:hAnsi="Arial"/>
          <w:sz w:val="15"/>
          <w:szCs w:val="15"/>
          <w:i w:val="1"/>
          <w:iCs w:val="1"/>
          <w:color w:val="auto"/>
        </w:rPr>
      </w:pPr>
      <w:r>
        <w:rPr>
          <w:rFonts w:ascii="Arial" w:cs="Arial" w:eastAsia="Arial" w:hAnsi="Arial"/>
          <w:sz w:val="15"/>
          <w:szCs w:val="15"/>
          <w:i w:val="1"/>
          <w:iCs w:val="1"/>
          <w:color w:val="auto"/>
        </w:rPr>
        <w:t>This information is furnished and not filed for purposes of Section 11 and 12 of the Securities Act of 1933 and Section 18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 xml:space="preserve">Piper Sandler Companies </w:t>
      </w:r>
      <w:r>
        <w:rPr>
          <w:rFonts w:ascii="Arial" w:cs="Arial" w:eastAsia="Arial" w:hAnsi="Arial"/>
          <w:sz w:val="14"/>
          <w:szCs w:val="14"/>
          <w:b w:val="1"/>
          <w:bCs w:val="1"/>
          <w:color w:val="3F97B5"/>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39" w:lineRule="exact"/>
        <w:rPr>
          <w:sz w:val="20"/>
          <w:szCs w:val="20"/>
          <w:color w:val="auto"/>
        </w:rPr>
      </w:pPr>
    </w:p>
    <w:tbl>
      <w:tblPr>
        <w:tblLayout w:type="fixed"/>
        <w:tblInd w:w="1980" w:type="dxa"/>
        <w:tblCellMar>
          <w:top w:w="0" w:type="dxa"/>
          <w:left w:w="0" w:type="dxa"/>
          <w:bottom w:w="0" w:type="dxa"/>
          <w:right w:w="0" w:type="dxa"/>
        </w:tblCellMar>
      </w:tblPr>
      <w:tr>
        <w:trPr>
          <w:trHeight w:val="225"/>
        </w:trPr>
        <w:tc>
          <w:tcPr>
            <w:tcW w:w="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480" w:type="dxa"/>
            <w:vAlign w:val="bottom"/>
            <w:gridSpan w:val="2"/>
          </w:tcPr>
          <w:p>
            <w:pPr>
              <w:ind w:left="1000"/>
              <w:spacing w:after="0"/>
              <w:rPr>
                <w:sz w:val="20"/>
                <w:szCs w:val="20"/>
                <w:color w:val="auto"/>
              </w:rPr>
            </w:pPr>
            <w:r>
              <w:rPr>
                <w:rFonts w:ascii="Arial" w:cs="Arial" w:eastAsia="Arial" w:hAnsi="Arial"/>
                <w:sz w:val="17"/>
                <w:szCs w:val="17"/>
                <w:color w:val="auto"/>
              </w:rPr>
              <w:t>PIPER SANDLER COMPANIES</w:t>
            </w:r>
          </w:p>
        </w:tc>
      </w:tr>
      <w:tr>
        <w:trPr>
          <w:trHeight w:val="493"/>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2160" w:type="dxa"/>
            <w:vAlign w:val="bottom"/>
          </w:tcPr>
          <w:p>
            <w:pPr>
              <w:ind w:left="220"/>
              <w:spacing w:after="0"/>
              <w:rPr>
                <w:sz w:val="20"/>
                <w:szCs w:val="20"/>
                <w:color w:val="auto"/>
              </w:rPr>
            </w:pPr>
            <w:r>
              <w:rPr>
                <w:rFonts w:ascii="Arial" w:cs="Arial" w:eastAsia="Arial" w:hAnsi="Arial"/>
                <w:sz w:val="17"/>
                <w:szCs w:val="17"/>
                <w:color w:val="auto"/>
              </w:rPr>
              <w:t>May 7, 2026</w:t>
            </w:r>
          </w:p>
        </w:tc>
        <w:tc>
          <w:tcPr>
            <w:tcW w:w="2020" w:type="dxa"/>
            <w:vAlign w:val="bottom"/>
          </w:tcPr>
          <w:p>
            <w:pPr>
              <w:ind w:left="1000"/>
              <w:spacing w:after="0"/>
              <w:rPr>
                <w:sz w:val="20"/>
                <w:szCs w:val="20"/>
                <w:color w:val="auto"/>
              </w:rPr>
            </w:pPr>
            <w:r>
              <w:rPr>
                <w:rFonts w:ascii="Arial" w:cs="Arial" w:eastAsia="Arial" w:hAnsi="Arial"/>
                <w:sz w:val="17"/>
                <w:szCs w:val="17"/>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Chad R. Abraham</w:t>
            </w:r>
          </w:p>
        </w:tc>
      </w:tr>
      <w:tr>
        <w:trPr>
          <w:trHeight w:val="221"/>
        </w:trPr>
        <w:tc>
          <w:tcPr>
            <w:tcW w:w="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20" w:type="dxa"/>
            <w:vAlign w:val="bottom"/>
          </w:tcPr>
          <w:p>
            <w:pPr>
              <w:ind w:left="1000"/>
              <w:spacing w:after="0"/>
              <w:rPr>
                <w:sz w:val="20"/>
                <w:szCs w:val="20"/>
                <w:color w:val="auto"/>
              </w:rPr>
            </w:pPr>
            <w:r>
              <w:rPr>
                <w:rFonts w:ascii="Arial" w:cs="Arial" w:eastAsia="Arial" w:hAnsi="Arial"/>
                <w:sz w:val="17"/>
                <w:szCs w:val="17"/>
                <w:color w:val="auto"/>
              </w:rPr>
              <w:t>Name</w:t>
            </w:r>
          </w:p>
        </w:tc>
        <w:tc>
          <w:tcPr>
            <w:tcW w:w="4460" w:type="dxa"/>
            <w:vAlign w:val="bottom"/>
          </w:tcPr>
          <w:p>
            <w:pPr>
              <w:spacing w:after="0"/>
              <w:rPr>
                <w:sz w:val="20"/>
                <w:szCs w:val="20"/>
                <w:color w:val="auto"/>
              </w:rPr>
            </w:pPr>
            <w:r>
              <w:rPr>
                <w:rFonts w:ascii="Arial" w:cs="Arial" w:eastAsia="Arial" w:hAnsi="Arial"/>
                <w:sz w:val="17"/>
                <w:szCs w:val="17"/>
                <w:color w:val="auto"/>
              </w:rPr>
              <w:t>Chad R. Abraham</w:t>
            </w:r>
          </w:p>
        </w:tc>
      </w:tr>
      <w:tr>
        <w:trPr>
          <w:trHeight w:val="225"/>
        </w:trPr>
        <w:tc>
          <w:tcPr>
            <w:tcW w:w="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20" w:type="dxa"/>
            <w:vAlign w:val="bottom"/>
          </w:tcPr>
          <w:p>
            <w:pPr>
              <w:ind w:left="1000"/>
              <w:spacing w:after="0"/>
              <w:rPr>
                <w:sz w:val="20"/>
                <w:szCs w:val="20"/>
                <w:color w:val="auto"/>
              </w:rPr>
            </w:pPr>
            <w:r>
              <w:rPr>
                <w:rFonts w:ascii="Arial" w:cs="Arial" w:eastAsia="Arial" w:hAnsi="Arial"/>
                <w:sz w:val="17"/>
                <w:szCs w:val="17"/>
                <w:color w:val="auto"/>
              </w:rPr>
              <w:t>Its</w:t>
            </w:r>
          </w:p>
        </w:tc>
        <w:tc>
          <w:tcPr>
            <w:tcW w:w="4460" w:type="dxa"/>
            <w:vAlign w:val="bottom"/>
          </w:tcPr>
          <w:p>
            <w:pPr>
              <w:spacing w:after="0"/>
              <w:rPr>
                <w:sz w:val="20"/>
                <w:szCs w:val="20"/>
                <w:color w:val="auto"/>
              </w:rPr>
            </w:pPr>
            <w:r>
              <w:rPr>
                <w:rFonts w:ascii="Arial" w:cs="Arial" w:eastAsia="Arial" w:hAnsi="Arial"/>
                <w:sz w:val="17"/>
                <w:szCs w:val="17"/>
                <w:color w:val="auto"/>
              </w:rPr>
              <w:t>Chairman and Chief Executive Officer</w:t>
            </w:r>
          </w:p>
        </w:tc>
      </w:tr>
      <w:tr>
        <w:trPr>
          <w:trHeight w:val="507"/>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2160" w:type="dxa"/>
            <w:vAlign w:val="bottom"/>
          </w:tcPr>
          <w:p>
            <w:pPr>
              <w:ind w:left="220"/>
              <w:spacing w:after="0"/>
              <w:rPr>
                <w:sz w:val="20"/>
                <w:szCs w:val="20"/>
                <w:color w:val="auto"/>
              </w:rPr>
            </w:pPr>
            <w:r>
              <w:rPr>
                <w:rFonts w:ascii="Arial" w:cs="Arial" w:eastAsia="Arial" w:hAnsi="Arial"/>
                <w:sz w:val="17"/>
                <w:szCs w:val="17"/>
                <w:color w:val="auto"/>
              </w:rPr>
              <w:t>May 7, 2026</w:t>
            </w:r>
          </w:p>
        </w:tc>
        <w:tc>
          <w:tcPr>
            <w:tcW w:w="2020" w:type="dxa"/>
            <w:vAlign w:val="bottom"/>
          </w:tcPr>
          <w:p>
            <w:pPr>
              <w:ind w:left="1000"/>
              <w:spacing w:after="0"/>
              <w:rPr>
                <w:sz w:val="20"/>
                <w:szCs w:val="20"/>
                <w:color w:val="auto"/>
              </w:rPr>
            </w:pPr>
            <w:r>
              <w:rPr>
                <w:rFonts w:ascii="Arial" w:cs="Arial" w:eastAsia="Arial" w:hAnsi="Arial"/>
                <w:sz w:val="17"/>
                <w:szCs w:val="17"/>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Katherine P. Clune</w:t>
            </w:r>
          </w:p>
        </w:tc>
      </w:tr>
      <w:tr>
        <w:trPr>
          <w:trHeight w:val="221"/>
        </w:trPr>
        <w:tc>
          <w:tcPr>
            <w:tcW w:w="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20" w:type="dxa"/>
            <w:vAlign w:val="bottom"/>
          </w:tcPr>
          <w:p>
            <w:pPr>
              <w:ind w:left="1000"/>
              <w:spacing w:after="0"/>
              <w:rPr>
                <w:sz w:val="20"/>
                <w:szCs w:val="20"/>
                <w:color w:val="auto"/>
              </w:rPr>
            </w:pPr>
            <w:r>
              <w:rPr>
                <w:rFonts w:ascii="Arial" w:cs="Arial" w:eastAsia="Arial" w:hAnsi="Arial"/>
                <w:sz w:val="17"/>
                <w:szCs w:val="17"/>
                <w:color w:val="auto"/>
              </w:rPr>
              <w:t>Name</w:t>
            </w:r>
          </w:p>
        </w:tc>
        <w:tc>
          <w:tcPr>
            <w:tcW w:w="4460" w:type="dxa"/>
            <w:vAlign w:val="bottom"/>
          </w:tcPr>
          <w:p>
            <w:pPr>
              <w:spacing w:after="0"/>
              <w:rPr>
                <w:sz w:val="20"/>
                <w:szCs w:val="20"/>
                <w:color w:val="auto"/>
              </w:rPr>
            </w:pPr>
            <w:r>
              <w:rPr>
                <w:rFonts w:ascii="Arial" w:cs="Arial" w:eastAsia="Arial" w:hAnsi="Arial"/>
                <w:sz w:val="17"/>
                <w:szCs w:val="17"/>
                <w:color w:val="auto"/>
              </w:rPr>
              <w:t>Katherine P. Clune</w:t>
            </w:r>
          </w:p>
        </w:tc>
      </w:tr>
      <w:tr>
        <w:trPr>
          <w:trHeight w:val="225"/>
        </w:trPr>
        <w:tc>
          <w:tcPr>
            <w:tcW w:w="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20" w:type="dxa"/>
            <w:vAlign w:val="bottom"/>
          </w:tcPr>
          <w:p>
            <w:pPr>
              <w:ind w:left="1000"/>
              <w:spacing w:after="0"/>
              <w:rPr>
                <w:sz w:val="20"/>
                <w:szCs w:val="20"/>
                <w:color w:val="auto"/>
              </w:rPr>
            </w:pPr>
            <w:r>
              <w:rPr>
                <w:rFonts w:ascii="Arial" w:cs="Arial" w:eastAsia="Arial" w:hAnsi="Arial"/>
                <w:sz w:val="17"/>
                <w:szCs w:val="17"/>
                <w:color w:val="auto"/>
              </w:rPr>
              <w:t>Its</w:t>
            </w:r>
          </w:p>
        </w:tc>
        <w:tc>
          <w:tcPr>
            <w:tcW w:w="4460" w:type="dxa"/>
            <w:vAlign w:val="bottom"/>
          </w:tcPr>
          <w:p>
            <w:pPr>
              <w:spacing w:after="0"/>
              <w:rPr>
                <w:sz w:val="20"/>
                <w:szCs w:val="20"/>
                <w:color w:val="auto"/>
              </w:rPr>
            </w:pPr>
            <w:r>
              <w:rPr>
                <w:rFonts w:ascii="Arial" w:cs="Arial" w:eastAsia="Arial" w:hAnsi="Arial"/>
                <w:sz w:val="17"/>
                <w:szCs w:val="17"/>
                <w:color w:val="auto"/>
              </w:rPr>
              <w:t>Chief Financial Officer</w:t>
            </w:r>
          </w:p>
        </w:tc>
      </w:tr>
    </w:tbl>
    <w:p>
      <w:pPr>
        <w:sectPr>
          <w:pgSz w:w="11900" w:h="16838" w:orient="portrait"/>
          <w:cols w:equalWidth="0" w:num="1">
            <w:col w:w="11240"/>
          </w:cols>
          <w:pgMar w:left="320" w:top="1089"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 Chad R. Abraham, certify that:</w:t>
      </w:r>
    </w:p>
    <w:p>
      <w:pPr>
        <w:spacing w:after="0" w:line="250"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Piper Sandler Companies;</w:t>
      </w:r>
    </w:p>
    <w:p>
      <w:pPr>
        <w:spacing w:after="0" w:line="263" w:lineRule="exact"/>
        <w:rPr>
          <w:rFonts w:ascii="Arial" w:cs="Arial" w:eastAsia="Arial" w:hAnsi="Arial"/>
          <w:sz w:val="17"/>
          <w:szCs w:val="17"/>
          <w:color w:val="auto"/>
        </w:rPr>
      </w:pPr>
    </w:p>
    <w:p>
      <w:pPr>
        <w:jc w:val="both"/>
        <w:ind w:left="260" w:hanging="252"/>
        <w:spacing w:after="0" w:line="266" w:lineRule="auto"/>
        <w:tabs>
          <w:tab w:leader="none" w:pos="36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260" w:hanging="252"/>
        <w:spacing w:after="0" w:line="284" w:lineRule="auto"/>
        <w:tabs>
          <w:tab w:leader="none" w:pos="394"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jc w:val="both"/>
        <w:ind w:left="260" w:hanging="252"/>
        <w:spacing w:after="0" w:line="266" w:lineRule="auto"/>
        <w:tabs>
          <w:tab w:leader="none" w:pos="377"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500" w:hanging="249"/>
        <w:spacing w:after="0" w:line="266" w:lineRule="auto"/>
        <w:tabs>
          <w:tab w:leader="none" w:pos="774"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7"/>
          <w:szCs w:val="17"/>
          <w:color w:val="auto"/>
        </w:rPr>
      </w:pPr>
    </w:p>
    <w:p>
      <w:pPr>
        <w:jc w:val="both"/>
        <w:ind w:left="500" w:hanging="249"/>
        <w:spacing w:after="0" w:line="266" w:lineRule="auto"/>
        <w:tabs>
          <w:tab w:leader="none" w:pos="672"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500" w:hanging="249"/>
        <w:spacing w:after="0" w:line="284"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17"/>
          <w:szCs w:val="17"/>
          <w:color w:val="auto"/>
        </w:rPr>
      </w:pPr>
    </w:p>
    <w:p>
      <w:pPr>
        <w:jc w:val="both"/>
        <w:ind w:left="500" w:hanging="249"/>
        <w:spacing w:after="0" w:line="266" w:lineRule="auto"/>
        <w:tabs>
          <w:tab w:leader="none" w:pos="60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260" w:hanging="252"/>
        <w:spacing w:after="0" w:line="284" w:lineRule="auto"/>
        <w:tabs>
          <w:tab w:leader="none" w:pos="381"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Arial" w:cs="Arial" w:eastAsia="Arial" w:hAnsi="Arial"/>
          <w:sz w:val="17"/>
          <w:szCs w:val="17"/>
          <w:color w:val="auto"/>
        </w:rPr>
      </w:pPr>
    </w:p>
    <w:p>
      <w:pPr>
        <w:ind w:left="500" w:hanging="249"/>
        <w:spacing w:after="0" w:line="284" w:lineRule="auto"/>
        <w:tabs>
          <w:tab w:leader="none" w:pos="744" w:val="left"/>
        </w:tabs>
        <w:numPr>
          <w:ilvl w:val="1"/>
          <w:numId w:val="2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500" w:right="20" w:hanging="249"/>
        <w:spacing w:after="0" w:line="284" w:lineRule="auto"/>
        <w:tabs>
          <w:tab w:leader="none" w:pos="666" w:val="left"/>
        </w:tabs>
        <w:numPr>
          <w:ilvl w:val="1"/>
          <w:numId w:val="2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Date: May 7, 2026</w:t>
      </w:r>
    </w:p>
    <w:p>
      <w:pPr>
        <w:spacing w:after="0" w:line="345"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/s/ Chad R.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27305</wp:posOffset>
            </wp:positionV>
            <wp:extent cx="27520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2752090" cy="8255"/>
                    </a:xfrm>
                    <a:prstGeom prst="rect">
                      <a:avLst/>
                    </a:prstGeom>
                    <a:noFill/>
                  </pic:spPr>
                </pic:pic>
              </a:graphicData>
            </a:graphic>
          </wp:anchor>
        </w:drawing>
      </w:r>
    </w:p>
    <w:p>
      <w:pPr>
        <w:spacing w:after="0" w:line="28"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Chad R. Abraham</w:t>
      </w:r>
    </w:p>
    <w:p>
      <w:pPr>
        <w:spacing w:after="0" w:line="34"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Chairman and Chief Executive Officer</w:t>
      </w:r>
    </w:p>
    <w:p>
      <w:pPr>
        <w:sectPr>
          <w:pgSz w:w="11900" w:h="16838" w:orient="portrait"/>
          <w:cols w:equalWidth="0" w:num="1">
            <w:col w:w="11240"/>
          </w:cols>
          <w:pgMar w:left="320" w:top="364"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I, Katherine P. Clune, certify that:</w:t>
      </w:r>
    </w:p>
    <w:p>
      <w:pPr>
        <w:spacing w:after="0" w:line="250"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Piper Sandler Companies;</w:t>
      </w:r>
    </w:p>
    <w:p>
      <w:pPr>
        <w:spacing w:after="0" w:line="263" w:lineRule="exact"/>
        <w:rPr>
          <w:rFonts w:ascii="Arial" w:cs="Arial" w:eastAsia="Arial" w:hAnsi="Arial"/>
          <w:sz w:val="17"/>
          <w:szCs w:val="17"/>
          <w:color w:val="auto"/>
        </w:rPr>
      </w:pPr>
    </w:p>
    <w:p>
      <w:pPr>
        <w:jc w:val="both"/>
        <w:ind w:left="260" w:hanging="252"/>
        <w:spacing w:after="0" w:line="266" w:lineRule="auto"/>
        <w:tabs>
          <w:tab w:leader="none" w:pos="36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260" w:hanging="252"/>
        <w:spacing w:after="0" w:line="284" w:lineRule="auto"/>
        <w:tabs>
          <w:tab w:leader="none" w:pos="394"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jc w:val="both"/>
        <w:ind w:left="260" w:hanging="252"/>
        <w:spacing w:after="0" w:line="266" w:lineRule="auto"/>
        <w:tabs>
          <w:tab w:leader="none" w:pos="377"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7"/>
          <w:szCs w:val="17"/>
          <w:color w:val="auto"/>
        </w:rPr>
      </w:pPr>
    </w:p>
    <w:p>
      <w:pPr>
        <w:jc w:val="both"/>
        <w:ind w:left="500" w:hanging="249"/>
        <w:spacing w:after="0" w:line="266" w:lineRule="auto"/>
        <w:tabs>
          <w:tab w:leader="none" w:pos="77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4" w:lineRule="exact"/>
        <w:rPr>
          <w:rFonts w:ascii="Arial" w:cs="Arial" w:eastAsia="Arial" w:hAnsi="Arial"/>
          <w:sz w:val="17"/>
          <w:szCs w:val="17"/>
          <w:color w:val="auto"/>
        </w:rPr>
      </w:pPr>
    </w:p>
    <w:p>
      <w:pPr>
        <w:jc w:val="both"/>
        <w:ind w:left="500" w:hanging="249"/>
        <w:spacing w:after="0" w:line="266" w:lineRule="auto"/>
        <w:tabs>
          <w:tab w:leader="none" w:pos="672"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500" w:hanging="249"/>
        <w:spacing w:after="0" w:line="284"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17"/>
          <w:szCs w:val="17"/>
          <w:color w:val="auto"/>
        </w:rPr>
      </w:pPr>
    </w:p>
    <w:p>
      <w:pPr>
        <w:jc w:val="both"/>
        <w:ind w:left="500" w:hanging="249"/>
        <w:spacing w:after="0" w:line="266" w:lineRule="auto"/>
        <w:tabs>
          <w:tab w:leader="none" w:pos="603"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260" w:hanging="252"/>
        <w:spacing w:after="0" w:line="284" w:lineRule="auto"/>
        <w:tabs>
          <w:tab w:leader="none" w:pos="38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Arial" w:cs="Arial" w:eastAsia="Arial" w:hAnsi="Arial"/>
          <w:sz w:val="17"/>
          <w:szCs w:val="17"/>
          <w:color w:val="auto"/>
        </w:rPr>
      </w:pPr>
    </w:p>
    <w:p>
      <w:pPr>
        <w:ind w:left="500" w:hanging="249"/>
        <w:spacing w:after="0" w:line="284" w:lineRule="auto"/>
        <w:tabs>
          <w:tab w:leader="none" w:pos="744"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500" w:right="20" w:hanging="249"/>
        <w:spacing w:after="0" w:line="284" w:lineRule="auto"/>
        <w:tabs>
          <w:tab w:leader="none" w:pos="666"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Date: May 7, 2026</w:t>
      </w:r>
    </w:p>
    <w:p>
      <w:pPr>
        <w:spacing w:after="0" w:line="345" w:lineRule="exact"/>
        <w:rPr>
          <w:sz w:val="20"/>
          <w:szCs w:val="20"/>
          <w:color w:val="auto"/>
        </w:rPr>
      </w:pPr>
    </w:p>
    <w:p>
      <w:pPr>
        <w:ind w:left="6920"/>
        <w:spacing w:after="0"/>
        <w:rPr>
          <w:sz w:val="20"/>
          <w:szCs w:val="20"/>
          <w:color w:val="auto"/>
        </w:rPr>
      </w:pPr>
      <w:r>
        <w:rPr>
          <w:rFonts w:ascii="Arial" w:cs="Arial" w:eastAsia="Arial" w:hAnsi="Arial"/>
          <w:sz w:val="17"/>
          <w:szCs w:val="17"/>
          <w:color w:val="auto"/>
        </w:rPr>
        <w:t>/s/ Katherine P. Clune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27305</wp:posOffset>
            </wp:positionV>
            <wp:extent cx="27514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28" w:lineRule="exact"/>
        <w:rPr>
          <w:sz w:val="20"/>
          <w:szCs w:val="20"/>
          <w:color w:val="auto"/>
        </w:rPr>
      </w:pPr>
    </w:p>
    <w:p>
      <w:pPr>
        <w:ind w:left="6920"/>
        <w:spacing w:after="0"/>
        <w:rPr>
          <w:sz w:val="20"/>
          <w:szCs w:val="20"/>
          <w:color w:val="auto"/>
        </w:rPr>
      </w:pPr>
      <w:r>
        <w:rPr>
          <w:rFonts w:ascii="Arial" w:cs="Arial" w:eastAsia="Arial" w:hAnsi="Arial"/>
          <w:sz w:val="17"/>
          <w:szCs w:val="17"/>
          <w:color w:val="auto"/>
        </w:rPr>
        <w:t>Katherine P. Clune</w:t>
      </w:r>
    </w:p>
    <w:p>
      <w:pPr>
        <w:spacing w:after="0" w:line="34" w:lineRule="exact"/>
        <w:rPr>
          <w:sz w:val="20"/>
          <w:szCs w:val="20"/>
          <w:color w:val="auto"/>
        </w:rPr>
      </w:pPr>
    </w:p>
    <w:p>
      <w:pPr>
        <w:ind w:left="6920"/>
        <w:spacing w:after="0"/>
        <w:rPr>
          <w:sz w:val="20"/>
          <w:szCs w:val="20"/>
          <w:color w:val="auto"/>
        </w:rPr>
      </w:pPr>
      <w:r>
        <w:rPr>
          <w:rFonts w:ascii="Arial" w:cs="Arial" w:eastAsia="Arial" w:hAnsi="Arial"/>
          <w:sz w:val="17"/>
          <w:szCs w:val="17"/>
          <w:color w:val="auto"/>
        </w:rPr>
        <w:t>Chief Financial Officer</w:t>
      </w:r>
    </w:p>
    <w:p>
      <w:pPr>
        <w:sectPr>
          <w:pgSz w:w="11900" w:h="16838" w:orient="portrait"/>
          <w:cols w:equalWidth="0" w:num="1">
            <w:col w:w="11240"/>
          </w:cols>
          <w:pgMar w:left="320" w:top="360"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Certification Under Section 906 of the Sarbanes-Oxley Act of 2002</w:t>
      </w:r>
    </w:p>
    <w:p>
      <w:pPr>
        <w:spacing w:after="0" w:line="25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color w:val="auto"/>
        </w:rPr>
        <w:t>Pursuant to Section 906 of the Sarbanes-Oxley Act of 2002, each of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Piper Sandler Companies.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Dated: May 7, 2026</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/s/ Chad R. Abraham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27305</wp:posOffset>
            </wp:positionV>
            <wp:extent cx="24606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28"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Chad R. Abraham</w:t>
      </w:r>
    </w:p>
    <w:p>
      <w:pPr>
        <w:spacing w:after="0" w:line="34"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Chairman and Chief Executive Officer</w:t>
      </w:r>
    </w:p>
    <w:p>
      <w:pPr>
        <w:spacing w:after="0" w:line="200" w:lineRule="exact"/>
        <w:rPr>
          <w:sz w:val="20"/>
          <w:szCs w:val="20"/>
          <w:color w:val="auto"/>
        </w:rPr>
      </w:pPr>
    </w:p>
    <w:p>
      <w:pPr>
        <w:spacing w:after="0" w:line="347"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/s/ Katherine P. Clune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27305</wp:posOffset>
            </wp:positionV>
            <wp:extent cx="24606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28"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Katherine P. Clune</w:t>
      </w:r>
    </w:p>
    <w:p>
      <w:pPr>
        <w:spacing w:after="0" w:line="34" w:lineRule="exact"/>
        <w:rPr>
          <w:sz w:val="20"/>
          <w:szCs w:val="20"/>
          <w:color w:val="auto"/>
        </w:rPr>
      </w:pPr>
    </w:p>
    <w:p>
      <w:pPr>
        <w:ind w:left="7380"/>
        <w:spacing w:after="0"/>
        <w:rPr>
          <w:sz w:val="20"/>
          <w:szCs w:val="20"/>
          <w:color w:val="auto"/>
        </w:rPr>
      </w:pPr>
      <w:r>
        <w:rPr>
          <w:rFonts w:ascii="Arial" w:cs="Arial" w:eastAsia="Arial" w:hAnsi="Arial"/>
          <w:sz w:val="17"/>
          <w:szCs w:val="17"/>
          <w:color w:val="auto"/>
        </w:rPr>
        <w:t>Chief Financial Officer</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01"/>
    </w:lvl>
  </w:abstractNum>
  <w:abstractNum w:abstractNumId="19">
    <w:nsid w:val="333AB105"/>
    <w:multiLevelType w:val="hybridMultilevel"/>
    <w:lvl w:ilvl="0">
      <w:lvlJc w:val="left"/>
      <w:lvlText w:val="*"/>
      <w:numFmt w:val="bullet"/>
      <w:start w:val="1"/>
    </w:lvl>
    <w:lvl w:ilvl="1">
      <w:lvlJc w:val="left"/>
      <w:lvlText w:val="%2"/>
      <w:numFmt w:val="decimal"/>
      <w:start w:val="104"/>
    </w:lvl>
  </w:abstractNum>
  <w:abstractNum w:abstractNumId="20">
    <w:nsid w:val="721DA317"/>
    <w:multiLevelType w:val="hybridMultilevel"/>
    <w:lvl w:ilvl="0">
      <w:lvlJc w:val="left"/>
      <w:lvlText w:val="**"/>
      <w:numFmt w:val="bullet"/>
      <w:start w:val="1"/>
    </w:lvl>
    <w:lvl w:ilvl="1">
      <w:lvlJc w:val="left"/>
      <w:lvlText w:val="%2"/>
      <w:numFmt w:val="decimal"/>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2" Type="http://schemas.openxmlformats.org/officeDocument/2006/relationships/image" Target="media/image64.png"/><Relationship Id="rId74"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71" Type="http://schemas.openxmlformats.org/officeDocument/2006/relationships/hyperlink" Target="https://www.sec.gov/Archives/edgar/data/1230245/000110465923062270/tm2316172d1_ex3-1.htm" TargetMode="External"/><Relationship Id="rId73" Type="http://schemas.openxmlformats.org/officeDocument/2006/relationships/hyperlink" Target="https://www.sec.gov/Archives/edgar/data/1230245/000110465926033351/tm268988d1_ex3-1.htm" TargetMode="External"/><Relationship Id="rId75" Type="http://schemas.openxmlformats.org/officeDocument/2006/relationships/hyperlink" Target="https://www.sec.gov/Archives/edgar/data/1230245/000110465923018641/tm235681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2026-05-07T11:36:03Z</dcterms:created>
  <dcterms:modified xsi:type="dcterms:W3CDTF">2026-05-07T11:36:03Z</dcterms:modified>
</cp:coreProperties>
</file>