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611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61137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80" w:type="dxa"/>
            <w:vAlign w:val="bottom"/>
            <w:gridSpan w:val="3"/>
          </w:tcPr>
          <w:p>
            <w:pPr>
              <w:ind w:left="16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200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Sterling Brian R</w:t>
              </w:r>
            </w:hyperlink>
          </w:p>
        </w:tc>
        <w:tc>
          <w:tcPr>
            <w:tcW w:w="1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3"/>
          </w:tcPr>
          <w:p>
            <w:pPr>
              <w:spacing w:after="0" w:line="18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PIPER SANDLER COMPANIES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PIPR</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2000" w:type="dxa"/>
            <w:vAlign w:val="bottom"/>
            <w:gridSpan w:val="3"/>
            <w:vMerge w:val="continue"/>
          </w:tcPr>
          <w:p>
            <w:pPr>
              <w:spacing w:after="0"/>
              <w:rPr>
                <w:sz w:val="5"/>
                <w:szCs w:val="5"/>
                <w:color w:val="auto"/>
              </w:rPr>
            </w:pPr>
          </w:p>
        </w:tc>
        <w:tc>
          <w:tcPr>
            <w:tcW w:w="16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760" w:type="dxa"/>
            <w:vAlign w:val="bottom"/>
            <w:tcBorders>
              <w:top w:val="single" w:sz="8" w:color="0000EE"/>
            </w:tcBorders>
          </w:tcPr>
          <w:p>
            <w:pPr>
              <w:spacing w:after="0"/>
              <w:rPr>
                <w:sz w:val="5"/>
                <w:szCs w:val="5"/>
                <w:color w:val="auto"/>
              </w:rPr>
            </w:pPr>
          </w:p>
        </w:tc>
        <w:tc>
          <w:tcPr>
            <w:tcW w:w="8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780" w:type="dxa"/>
            <w:vAlign w:val="bottom"/>
            <w:tcBorders>
              <w:top w:val="single" w:sz="8" w:color="0000EE"/>
              <w:bottom w:val="single" w:sz="8" w:color="9A9A9A"/>
            </w:tcBorders>
          </w:tcPr>
          <w:p>
            <w:pPr>
              <w:spacing w:after="0"/>
              <w:rPr>
                <w:sz w:val="16"/>
                <w:szCs w:val="16"/>
                <w:color w:val="auto"/>
              </w:rPr>
            </w:pPr>
          </w:p>
        </w:tc>
        <w:tc>
          <w:tcPr>
            <w:tcW w:w="620" w:type="dxa"/>
            <w:vAlign w:val="bottom"/>
            <w:tcBorders>
              <w:top w:val="single" w:sz="8" w:color="0000EE"/>
              <w:bottom w:val="single" w:sz="8" w:color="9A9A9A"/>
            </w:tcBorders>
          </w:tcPr>
          <w:p>
            <w:pPr>
              <w:spacing w:after="0"/>
              <w:rPr>
                <w:sz w:val="16"/>
                <w:szCs w:val="16"/>
                <w:color w:val="auto"/>
              </w:rPr>
            </w:pPr>
          </w:p>
        </w:tc>
        <w:tc>
          <w:tcPr>
            <w:tcW w:w="600" w:type="dxa"/>
            <w:vAlign w:val="bottom"/>
            <w:tcBorders>
              <w:bottom w:val="single" w:sz="8" w:color="9A9A9A"/>
            </w:tcBorders>
          </w:tcPr>
          <w:p>
            <w:pPr>
              <w:spacing w:after="0"/>
              <w:rPr>
                <w:sz w:val="16"/>
                <w:szCs w:val="16"/>
                <w:color w:val="auto"/>
              </w:rPr>
            </w:pPr>
          </w:p>
        </w:tc>
        <w:tc>
          <w:tcPr>
            <w:tcW w:w="164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Borders>
              <w:bottom w:val="single" w:sz="8" w:color="2C2C2C"/>
            </w:tcBorders>
          </w:tcPr>
          <w:p>
            <w:pPr>
              <w:spacing w:after="0"/>
              <w:rPr>
                <w:sz w:val="16"/>
                <w:szCs w:val="16"/>
                <w:color w:val="auto"/>
              </w:rPr>
            </w:pPr>
          </w:p>
        </w:tc>
        <w:tc>
          <w:tcPr>
            <w:tcW w:w="120" w:type="dxa"/>
            <w:vAlign w:val="bottom"/>
            <w:tcBorders>
              <w:bottom w:val="single" w:sz="8" w:color="2C2C2C"/>
            </w:tcBorders>
          </w:tcPr>
          <w:p>
            <w:pPr>
              <w:spacing w:after="0"/>
              <w:rPr>
                <w:sz w:val="16"/>
                <w:szCs w:val="16"/>
                <w:color w:val="auto"/>
              </w:rPr>
            </w:pPr>
          </w:p>
        </w:tc>
        <w:tc>
          <w:tcPr>
            <w:tcW w:w="2760" w:type="dxa"/>
            <w:vAlign w:val="bottom"/>
            <w:tcBorders>
              <w:bottom w:val="single" w:sz="8" w:color="2C2C2C"/>
            </w:tcBorders>
          </w:tcPr>
          <w:p>
            <w:pPr>
              <w:spacing w:after="0"/>
              <w:rPr>
                <w:sz w:val="16"/>
                <w:szCs w:val="16"/>
                <w:color w:val="auto"/>
              </w:rPr>
            </w:pPr>
          </w:p>
        </w:tc>
        <w:tc>
          <w:tcPr>
            <w:tcW w:w="860" w:type="dxa"/>
            <w:vAlign w:val="bottom"/>
            <w:tcBorders>
              <w:bottom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145"/>
        </w:trPr>
        <w:tc>
          <w:tcPr>
            <w:tcW w:w="40" w:type="dxa"/>
            <w:vAlign w:val="bottom"/>
          </w:tcPr>
          <w:p>
            <w:pPr>
              <w:spacing w:after="0"/>
              <w:rPr>
                <w:sz w:val="12"/>
                <w:szCs w:val="12"/>
                <w:color w:val="auto"/>
              </w:rPr>
            </w:pPr>
          </w:p>
        </w:tc>
        <w:tc>
          <w:tcPr>
            <w:tcW w:w="780" w:type="dxa"/>
            <w:vAlign w:val="bottom"/>
            <w:tcBorders>
              <w:top w:val="single" w:sz="8" w:color="EEEEEE"/>
            </w:tcBorders>
            <w:vMerge w:val="restart"/>
          </w:tcPr>
          <w:p>
            <w:pPr>
              <w:spacing w:after="0"/>
              <w:rPr>
                <w:sz w:val="20"/>
                <w:szCs w:val="20"/>
                <w:color w:val="auto"/>
              </w:rPr>
            </w:pPr>
            <w:r>
              <w:rPr>
                <w:rFonts w:ascii="Arial" w:cs="Arial" w:eastAsia="Arial" w:hAnsi="Arial"/>
                <w:sz w:val="13"/>
                <w:szCs w:val="13"/>
                <w:color w:val="auto"/>
              </w:rPr>
              <w:t>(Last)</w:t>
            </w:r>
          </w:p>
        </w:tc>
        <w:tc>
          <w:tcPr>
            <w:tcW w:w="1220" w:type="dxa"/>
            <w:vAlign w:val="bottom"/>
            <w:tcBorders>
              <w:top w:val="single" w:sz="8" w:color="EEEEEE"/>
            </w:tcBorders>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640" w:type="dxa"/>
            <w:vAlign w:val="bottom"/>
            <w:tcBorders>
              <w:top w:val="single" w:sz="8" w:color="EEEEEE"/>
            </w:tcBorders>
            <w:vMerge w:val="restart"/>
          </w:tcPr>
          <w:p>
            <w:pPr>
              <w:ind w:left="440"/>
              <w:spacing w:after="0"/>
              <w:rPr>
                <w:sz w:val="20"/>
                <w:szCs w:val="20"/>
                <w:color w:val="auto"/>
              </w:rPr>
            </w:pPr>
            <w:r>
              <w:rPr>
                <w:rFonts w:ascii="Arial" w:cs="Arial" w:eastAsia="Arial" w:hAnsi="Arial"/>
                <w:sz w:val="13"/>
                <w:szCs w:val="13"/>
                <w:color w:val="auto"/>
              </w:rPr>
              <w:t>(Middle)</w:t>
            </w:r>
          </w:p>
        </w:tc>
        <w:tc>
          <w:tcPr>
            <w:tcW w:w="280" w:type="dxa"/>
            <w:vAlign w:val="bottom"/>
            <w:gridSpan w:val="3"/>
          </w:tcPr>
          <w:p>
            <w:pPr>
              <w:ind w:left="160"/>
              <w:spacing w:after="0" w:line="146" w:lineRule="exact"/>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line="146" w:lineRule="exact"/>
              <w:rPr>
                <w:sz w:val="20"/>
                <w:szCs w:val="20"/>
                <w:color w:val="auto"/>
              </w:rPr>
            </w:pPr>
            <w:r>
              <w:rPr>
                <w:rFonts w:ascii="Arial" w:cs="Arial" w:eastAsia="Arial" w:hAnsi="Arial"/>
                <w:sz w:val="13"/>
                <w:szCs w:val="13"/>
                <w:color w:val="auto"/>
              </w:rPr>
              <w:t>Date of Earliest Transaction (Month/Day/Year)</w:t>
            </w:r>
          </w:p>
        </w:tc>
        <w:tc>
          <w:tcPr>
            <w:tcW w:w="0" w:type="dxa"/>
            <w:vAlign w:val="bottom"/>
          </w:tcPr>
          <w:p>
            <w:pPr>
              <w:spacing w:after="0"/>
              <w:rPr>
                <w:sz w:val="1"/>
                <w:szCs w:val="1"/>
                <w:color w:val="auto"/>
              </w:rPr>
            </w:pPr>
          </w:p>
        </w:tc>
      </w:tr>
      <w:tr>
        <w:trPr>
          <w:trHeight w:val="220"/>
        </w:trPr>
        <w:tc>
          <w:tcPr>
            <w:tcW w:w="40" w:type="dxa"/>
            <w:vAlign w:val="bottom"/>
          </w:tcPr>
          <w:p>
            <w:pPr>
              <w:spacing w:after="0"/>
              <w:rPr>
                <w:sz w:val="19"/>
                <w:szCs w:val="19"/>
                <w:color w:val="auto"/>
              </w:rPr>
            </w:pPr>
          </w:p>
        </w:tc>
        <w:tc>
          <w:tcPr>
            <w:tcW w:w="780" w:type="dxa"/>
            <w:vAlign w:val="bottom"/>
            <w:vMerge w:val="continue"/>
          </w:tcPr>
          <w:p>
            <w:pPr>
              <w:spacing w:after="0"/>
              <w:rPr>
                <w:sz w:val="19"/>
                <w:szCs w:val="19"/>
                <w:color w:val="auto"/>
              </w:rPr>
            </w:pPr>
          </w:p>
        </w:tc>
        <w:tc>
          <w:tcPr>
            <w:tcW w:w="1220" w:type="dxa"/>
            <w:vAlign w:val="bottom"/>
            <w:gridSpan w:val="2"/>
            <w:vMerge w:val="continue"/>
          </w:tcPr>
          <w:p>
            <w:pPr>
              <w:spacing w:after="0"/>
              <w:rPr>
                <w:sz w:val="19"/>
                <w:szCs w:val="19"/>
                <w:color w:val="auto"/>
              </w:rPr>
            </w:pPr>
          </w:p>
        </w:tc>
        <w:tc>
          <w:tcPr>
            <w:tcW w:w="1640" w:type="dxa"/>
            <w:vAlign w:val="bottom"/>
            <w:vMerge w:val="continue"/>
          </w:tcPr>
          <w:p>
            <w:pPr>
              <w:spacing w:after="0"/>
              <w:rPr>
                <w:sz w:val="19"/>
                <w:szCs w:val="19"/>
                <w:color w:val="auto"/>
              </w:rPr>
            </w:pPr>
          </w:p>
        </w:tc>
        <w:tc>
          <w:tcPr>
            <w:tcW w:w="3040" w:type="dxa"/>
            <w:vAlign w:val="bottom"/>
            <w:gridSpan w:val="4"/>
          </w:tcPr>
          <w:p>
            <w:pPr>
              <w:ind w:left="160"/>
              <w:spacing w:after="0"/>
              <w:rPr>
                <w:sz w:val="20"/>
                <w:szCs w:val="20"/>
                <w:color w:val="auto"/>
              </w:rPr>
            </w:pPr>
            <w:r>
              <w:rPr>
                <w:rFonts w:ascii="Times New Roman" w:cs="Times New Roman" w:eastAsia="Times New Roman" w:hAnsi="Times New Roman"/>
                <w:sz w:val="17"/>
                <w:szCs w:val="17"/>
                <w:color w:val="0000FF"/>
              </w:rPr>
              <w:t>06/30/2026</w:t>
            </w: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ind w:left="120"/>
        <w:spacing w:after="0"/>
        <w:rPr>
          <w:sz w:val="20"/>
          <w:szCs w:val="20"/>
          <w:color w:val="auto"/>
        </w:rPr>
      </w:pPr>
      <w:r>
        <w:rPr>
          <w:rFonts w:ascii="Times New Roman" w:cs="Times New Roman" w:eastAsia="Times New Roman" w:hAnsi="Times New Roman"/>
          <w:sz w:val="17"/>
          <w:szCs w:val="17"/>
          <w:color w:val="0000FF"/>
        </w:rPr>
        <w:t>350 NORTH 5TH STREET, SUITE 1000</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0"/>
          <w:szCs w:val="20"/>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25" w:lineRule="exact"/>
        <w:rPr>
          <w:sz w:val="20"/>
          <w:szCs w:val="20"/>
          <w:color w:val="auto"/>
        </w:rPr>
      </w:pPr>
    </w:p>
    <w:p>
      <w:pPr>
        <w:sectPr>
          <w:pgSz w:w="11900" w:h="16838" w:orient="portrait"/>
          <w:cols w:equalWidth="0" w:num="2">
            <w:col w:w="7660" w:space="75"/>
            <w:col w:w="3345"/>
          </w:cols>
          <w:pgMar w:left="460" w:top="219" w:right="359" w:bottom="1440" w:gutter="0" w:footer="0" w:header="0"/>
          <w:type w:val="continuous"/>
        </w:sectPr>
      </w:pPr>
    </w:p>
    <w:p>
      <w:pPr>
        <w:spacing w:after="0" w:line="240"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8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20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MINNEAPOLIS MN</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55401</w:t>
            </w:r>
          </w:p>
        </w:tc>
      </w:tr>
      <w:tr>
        <w:trPr>
          <w:trHeight w:val="155"/>
        </w:trPr>
        <w:tc>
          <w:tcPr>
            <w:tcW w:w="4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(City)</w:t>
            </w:r>
          </w:p>
        </w:tc>
        <w:tc>
          <w:tcPr>
            <w:tcW w:w="1220" w:type="dxa"/>
            <w:vAlign w:val="bottom"/>
          </w:tcPr>
          <w:p>
            <w:pPr>
              <w:ind w:left="4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0"/>
          <w:szCs w:val="20"/>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409" w:lineRule="exact"/>
        <w:rPr>
          <w:sz w:val="20"/>
          <w:szCs w:val="20"/>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0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5)</w:t>
            </w: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8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46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4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8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60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gridSpan w:val="2"/>
          </w:tcPr>
          <w:p>
            <w:pPr>
              <w:ind w:left="680"/>
              <w:spacing w:after="0"/>
              <w:rPr>
                <w:sz w:val="20"/>
                <w:szCs w:val="20"/>
                <w:color w:val="auto"/>
              </w:rPr>
            </w:pPr>
            <w:r>
              <w:rPr>
                <w:rFonts w:ascii="Times New Roman" w:cs="Times New Roman" w:eastAsia="Times New Roman" w:hAnsi="Times New Roman"/>
                <w:sz w:val="17"/>
                <w:szCs w:val="17"/>
                <w:color w:val="0000FF"/>
              </w:rPr>
              <w:t>06/30/2026</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00" w:type="dxa"/>
            <w:vAlign w:val="bottom"/>
            <w:tcBorders>
              <w:bottom w:val="single" w:sz="8" w:color="2C2C2C"/>
            </w:tcBorders>
          </w:tcPr>
          <w:p>
            <w:pPr>
              <w:ind w:left="240"/>
              <w:spacing w:after="0" w:line="320" w:lineRule="exact"/>
              <w:rPr>
                <w:sz w:val="20"/>
                <w:szCs w:val="20"/>
                <w:color w:val="auto"/>
              </w:rPr>
            </w:pPr>
            <w:r>
              <w:rPr>
                <w:rFonts w:ascii="Times New Roman" w:cs="Times New Roman" w:eastAsia="Times New Roman" w:hAnsi="Times New Roman"/>
                <w:sz w:val="34"/>
                <w:szCs w:val="34"/>
                <w:color w:val="0000FF"/>
                <w:w w:val="93"/>
                <w:vertAlign w:val="subscript"/>
              </w:rPr>
              <w:t>345</w:t>
            </w:r>
            <w:r>
              <w:rPr>
                <w:rFonts w:ascii="Times New Roman" w:cs="Times New Roman" w:eastAsia="Times New Roman" w:hAnsi="Times New Roman"/>
                <w:sz w:val="11"/>
                <w:szCs w:val="11"/>
                <w:color w:val="008000"/>
                <w:w w:val="93"/>
              </w:rPr>
              <w:t>(1)</w:t>
            </w:r>
          </w:p>
        </w:tc>
        <w:tc>
          <w:tcPr>
            <w:tcW w:w="46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jc w:val="right"/>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480"/>
              <w:spacing w:after="0"/>
              <w:rPr>
                <w:sz w:val="20"/>
                <w:szCs w:val="20"/>
                <w:color w:val="auto"/>
              </w:rPr>
            </w:pPr>
            <w:r>
              <w:rPr>
                <w:rFonts w:ascii="Times New Roman" w:cs="Times New Roman" w:eastAsia="Times New Roman" w:hAnsi="Times New Roman"/>
                <w:sz w:val="17"/>
                <w:szCs w:val="17"/>
                <w:color w:val="0000FF"/>
              </w:rPr>
              <w:t>104,910</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3"/>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22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elected to defer receipt of quarterly director cash retainer fees resulting in the accrual to his account of 345 shares of phantom stock. The shares of phantom stock become payable, in common stock, on the last day of the year in which the reporting person's service as a director terminates.</w:t>
      </w:r>
    </w:p>
    <w:p>
      <w:pPr>
        <w:spacing w:after="0" w:line="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72" w:lineRule="exact"/>
        <w:rPr>
          <w:sz w:val="20"/>
          <w:szCs w:val="20"/>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/s/ James Grant for Brian R.</w:t>
      </w:r>
      <w:r>
        <w:rPr>
          <w:sz w:val="20"/>
          <w:szCs w:val="20"/>
          <w:color w:val="auto"/>
        </w:rPr>
        <w:tab/>
      </w:r>
      <w:r>
        <w:rPr>
          <w:rFonts w:ascii="Times New Roman" w:cs="Times New Roman" w:eastAsia="Times New Roman" w:hAnsi="Times New Roman"/>
          <w:sz w:val="26"/>
          <w:szCs w:val="26"/>
          <w:color w:val="0000FF"/>
          <w:vertAlign w:val="subscript"/>
        </w:rPr>
        <w:t>07/01/2026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-28575</wp:posOffset>
            </wp:positionV>
            <wp:extent cx="12344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Sterling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3479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347980"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837229" TargetMode="External"/><Relationship Id="rId14" Type="http://schemas.openxmlformats.org/officeDocument/2006/relationships/hyperlink" Target="http://www.sec.gov/cgi-bin/browse-edgar?action=getcompany&amp;CIK=000123024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2026-07-01T15:12:42Z</dcterms:created>
  <dcterms:modified xsi:type="dcterms:W3CDTF">2026-07-01T15:12:42Z</dcterms:modified>
</cp:coreProperties>
</file>