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21,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94"/>
        </w:trPr>
        <w:tc>
          <w:tcPr>
            <w:tcW w:w="3160" w:type="dxa"/>
            <w:vAlign w:val="bottom"/>
          </w:tcPr>
          <w:p>
            <w:pPr>
              <w:spacing w:after="0"/>
              <w:rPr>
                <w:sz w:val="24"/>
                <w:szCs w:val="24"/>
                <w:color w:val="auto"/>
              </w:rPr>
            </w:pPr>
          </w:p>
        </w:tc>
        <w:tc>
          <w:tcPr>
            <w:tcW w:w="8080" w:type="dxa"/>
            <w:vAlign w:val="bottom"/>
          </w:tcPr>
          <w:p>
            <w:pPr>
              <w:jc w:val="center"/>
              <w:ind w:right="3058"/>
              <w:spacing w:after="0"/>
              <w:rPr>
                <w:sz w:val="20"/>
                <w:szCs w:val="20"/>
                <w:color w:val="auto"/>
              </w:rPr>
            </w:pPr>
            <w:r>
              <w:rPr>
                <w:rFonts w:ascii="Times New Roman" w:cs="Times New Roman" w:eastAsia="Times New Roman" w:hAnsi="Times New Roman"/>
                <w:sz w:val="25"/>
                <w:szCs w:val="25"/>
                <w:b w:val="1"/>
                <w:bCs w:val="1"/>
                <w:color w:val="auto"/>
                <w:w w:val="98"/>
              </w:rPr>
              <w:t>FORM S-8</w:t>
            </w:r>
          </w:p>
        </w:tc>
      </w:tr>
      <w:tr>
        <w:trPr>
          <w:trHeight w:val="298"/>
        </w:trPr>
        <w:tc>
          <w:tcPr>
            <w:tcW w:w="3160" w:type="dxa"/>
            <w:vAlign w:val="bottom"/>
          </w:tcPr>
          <w:p>
            <w:pPr>
              <w:spacing w:after="0"/>
              <w:rPr>
                <w:sz w:val="24"/>
                <w:szCs w:val="24"/>
                <w:color w:val="auto"/>
              </w:rPr>
            </w:pPr>
          </w:p>
        </w:tc>
        <w:tc>
          <w:tcPr>
            <w:tcW w:w="8080" w:type="dxa"/>
            <w:vAlign w:val="bottom"/>
          </w:tcPr>
          <w:p>
            <w:pPr>
              <w:jc w:val="center"/>
              <w:ind w:right="3038"/>
              <w:spacing w:after="0"/>
              <w:rPr>
                <w:sz w:val="20"/>
                <w:szCs w:val="20"/>
                <w:color w:val="auto"/>
              </w:rPr>
            </w:pPr>
            <w:r>
              <w:rPr>
                <w:rFonts w:ascii="Times New Roman" w:cs="Times New Roman" w:eastAsia="Times New Roman" w:hAnsi="Times New Roman"/>
                <w:sz w:val="25"/>
                <w:szCs w:val="25"/>
                <w:b w:val="1"/>
                <w:bCs w:val="1"/>
                <w:color w:val="auto"/>
                <w:w w:val="97"/>
              </w:rPr>
              <w:t>REGISTRATION STATEMENT</w:t>
            </w:r>
          </w:p>
        </w:tc>
      </w:tr>
      <w:tr>
        <w:trPr>
          <w:trHeight w:val="213"/>
        </w:trPr>
        <w:tc>
          <w:tcPr>
            <w:tcW w:w="3160" w:type="dxa"/>
            <w:vAlign w:val="bottom"/>
          </w:tcPr>
          <w:p>
            <w:pPr>
              <w:spacing w:after="0"/>
              <w:rPr>
                <w:sz w:val="18"/>
                <w:szCs w:val="18"/>
                <w:color w:val="auto"/>
              </w:rPr>
            </w:pPr>
          </w:p>
        </w:tc>
        <w:tc>
          <w:tcPr>
            <w:tcW w:w="8080" w:type="dxa"/>
            <w:vAlign w:val="bottom"/>
          </w:tcPr>
          <w:p>
            <w:pPr>
              <w:jc w:val="center"/>
              <w:ind w:right="3038"/>
              <w:spacing w:after="0"/>
              <w:rPr>
                <w:sz w:val="20"/>
                <w:szCs w:val="20"/>
                <w:color w:val="auto"/>
              </w:rPr>
            </w:pPr>
            <w:r>
              <w:rPr>
                <w:rFonts w:ascii="Times New Roman" w:cs="Times New Roman" w:eastAsia="Times New Roman" w:hAnsi="Times New Roman"/>
                <w:sz w:val="18"/>
                <w:szCs w:val="18"/>
                <w:b w:val="1"/>
                <w:bCs w:val="1"/>
                <w:color w:val="auto"/>
                <w:w w:val="99"/>
              </w:rPr>
              <w:t>UNDER THE</w:t>
            </w:r>
          </w:p>
        </w:tc>
      </w:tr>
      <w:tr>
        <w:trPr>
          <w:trHeight w:val="236"/>
        </w:trPr>
        <w:tc>
          <w:tcPr>
            <w:tcW w:w="3160" w:type="dxa"/>
            <w:vAlign w:val="bottom"/>
          </w:tcPr>
          <w:p>
            <w:pPr>
              <w:spacing w:after="0"/>
              <w:rPr>
                <w:sz w:val="20"/>
                <w:szCs w:val="20"/>
                <w:color w:val="auto"/>
              </w:rPr>
            </w:pPr>
          </w:p>
        </w:tc>
        <w:tc>
          <w:tcPr>
            <w:tcW w:w="8080" w:type="dxa"/>
            <w:vAlign w:val="bottom"/>
          </w:tcPr>
          <w:p>
            <w:pPr>
              <w:jc w:val="center"/>
              <w:ind w:right="3058"/>
              <w:spacing w:after="0"/>
              <w:rPr>
                <w:sz w:val="20"/>
                <w:szCs w:val="20"/>
                <w:color w:val="auto"/>
              </w:rPr>
            </w:pPr>
            <w:r>
              <w:rPr>
                <w:rFonts w:ascii="Times New Roman" w:cs="Times New Roman" w:eastAsia="Times New Roman" w:hAnsi="Times New Roman"/>
                <w:sz w:val="18"/>
                <w:szCs w:val="18"/>
                <w:b w:val="1"/>
                <w:bCs w:val="1"/>
                <w:color w:val="auto"/>
                <w:w w:val="99"/>
              </w:rPr>
              <w:t>SECURITIES ACT OF 1933</w:t>
            </w:r>
          </w:p>
        </w:tc>
      </w:tr>
      <w:tr>
        <w:trPr>
          <w:trHeight w:val="213"/>
        </w:trPr>
        <w:tc>
          <w:tcPr>
            <w:tcW w:w="316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tcPr>
          <w:p>
            <w:pPr>
              <w:spacing w:after="0"/>
              <w:rPr>
                <w:sz w:val="18"/>
                <w:szCs w:val="18"/>
                <w:color w:val="auto"/>
              </w:rPr>
            </w:pPr>
          </w:p>
        </w:tc>
      </w:tr>
      <w:tr>
        <w:trPr>
          <w:trHeight w:val="562"/>
        </w:trPr>
        <w:tc>
          <w:tcPr>
            <w:tcW w:w="3160" w:type="dxa"/>
            <w:vAlign w:val="bottom"/>
          </w:tcPr>
          <w:p>
            <w:pPr>
              <w:spacing w:after="0"/>
              <w:rPr>
                <w:sz w:val="24"/>
                <w:szCs w:val="24"/>
                <w:color w:val="auto"/>
              </w:rPr>
            </w:pPr>
          </w:p>
        </w:tc>
        <w:tc>
          <w:tcPr>
            <w:tcW w:w="8080" w:type="dxa"/>
            <w:vAlign w:val="bottom"/>
          </w:tcPr>
          <w:p>
            <w:pPr>
              <w:jc w:val="center"/>
              <w:ind w:right="3038"/>
              <w:spacing w:after="0"/>
              <w:rPr>
                <w:sz w:val="20"/>
                <w:szCs w:val="20"/>
                <w:color w:val="auto"/>
              </w:rPr>
            </w:pPr>
            <w:r>
              <w:rPr>
                <w:rFonts w:ascii="Times New Roman" w:cs="Times New Roman" w:eastAsia="Times New Roman" w:hAnsi="Times New Roman"/>
                <w:sz w:val="32"/>
                <w:szCs w:val="32"/>
                <w:b w:val="1"/>
                <w:bCs w:val="1"/>
                <w:color w:val="auto"/>
                <w:w w:val="99"/>
              </w:rPr>
              <w:t>PIPER SANDLER COMPANIES</w:t>
            </w:r>
          </w:p>
        </w:tc>
      </w:tr>
      <w:tr>
        <w:trPr>
          <w:trHeight w:val="232"/>
        </w:trPr>
        <w:tc>
          <w:tcPr>
            <w:tcW w:w="3160" w:type="dxa"/>
            <w:vAlign w:val="bottom"/>
          </w:tcPr>
          <w:p>
            <w:pPr>
              <w:spacing w:after="0"/>
              <w:rPr>
                <w:sz w:val="20"/>
                <w:szCs w:val="20"/>
                <w:color w:val="auto"/>
              </w:rPr>
            </w:pPr>
          </w:p>
        </w:tc>
        <w:tc>
          <w:tcPr>
            <w:tcW w:w="8080" w:type="dxa"/>
            <w:vAlign w:val="bottom"/>
          </w:tcPr>
          <w:p>
            <w:pPr>
              <w:jc w:val="center"/>
              <w:ind w:right="3058"/>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408"/>
        </w:trPr>
        <w:tc>
          <w:tcPr>
            <w:tcW w:w="316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80" w:type="dxa"/>
            <w:vAlign w:val="bottom"/>
          </w:tcPr>
          <w:p>
            <w:pPr>
              <w:jc w:val="center"/>
              <w:ind w:left="4398"/>
              <w:spacing w:after="0"/>
              <w:rPr>
                <w:sz w:val="20"/>
                <w:szCs w:val="20"/>
                <w:color w:val="auto"/>
              </w:rPr>
            </w:pPr>
            <w:r>
              <w:rPr>
                <w:rFonts w:ascii="Times New Roman" w:cs="Times New Roman" w:eastAsia="Times New Roman" w:hAnsi="Times New Roman"/>
                <w:sz w:val="18"/>
                <w:szCs w:val="18"/>
                <w:b w:val="1"/>
                <w:bCs w:val="1"/>
                <w:color w:val="auto"/>
                <w:w w:val="98"/>
              </w:rPr>
              <w:t>30-0168701</w:t>
            </w:r>
          </w:p>
        </w:tc>
      </w:tr>
      <w:tr>
        <w:trPr>
          <w:trHeight w:val="213"/>
        </w:trPr>
        <w:tc>
          <w:tcPr>
            <w:tcW w:w="31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8080" w:type="dxa"/>
            <w:vAlign w:val="bottom"/>
          </w:tcPr>
          <w:p>
            <w:pPr>
              <w:jc w:val="center"/>
              <w:ind w:left="4398"/>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31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8080" w:type="dxa"/>
            <w:vAlign w:val="bottom"/>
          </w:tcPr>
          <w:p>
            <w:pPr>
              <w:jc w:val="center"/>
              <w:ind w:left="4378"/>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4"/>
        </w:trPr>
        <w:tc>
          <w:tcPr>
            <w:tcW w:w="3160" w:type="dxa"/>
            <w:vAlign w:val="bottom"/>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8"/>
              </w:rPr>
              <w:t>350 North 5th Street, Suite 1000</w:t>
            </w:r>
          </w:p>
        </w:tc>
        <w:tc>
          <w:tcPr>
            <w:tcW w:w="8080" w:type="dxa"/>
            <w:vAlign w:val="bottom"/>
          </w:tcPr>
          <w:p>
            <w:pPr>
              <w:jc w:val="center"/>
              <w:ind w:left="4338"/>
              <w:spacing w:after="0"/>
              <w:rPr>
                <w:sz w:val="20"/>
                <w:szCs w:val="20"/>
                <w:color w:val="auto"/>
              </w:rPr>
            </w:pPr>
            <w:r>
              <w:rPr>
                <w:rFonts w:ascii="Times New Roman" w:cs="Times New Roman" w:eastAsia="Times New Roman" w:hAnsi="Times New Roman"/>
                <w:sz w:val="18"/>
                <w:szCs w:val="18"/>
                <w:b w:val="1"/>
                <w:bCs w:val="1"/>
                <w:color w:val="auto"/>
                <w:w w:val="97"/>
              </w:rPr>
              <w:t>55401</w:t>
            </w:r>
          </w:p>
        </w:tc>
      </w:tr>
      <w:tr>
        <w:trPr>
          <w:trHeight w:val="217"/>
        </w:trPr>
        <w:tc>
          <w:tcPr>
            <w:tcW w:w="3160" w:type="dxa"/>
            <w:vAlign w:val="bottom"/>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8"/>
              </w:rPr>
              <w:t>Minneapolis, Minnesota</w:t>
            </w:r>
          </w:p>
        </w:tc>
        <w:tc>
          <w:tcPr>
            <w:tcW w:w="8080" w:type="dxa"/>
            <w:vAlign w:val="bottom"/>
          </w:tcPr>
          <w:p>
            <w:pPr>
              <w:jc w:val="center"/>
              <w:ind w:left="4398"/>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13"/>
        </w:trPr>
        <w:tc>
          <w:tcPr>
            <w:tcW w:w="316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(Address of Principal Executive</w:t>
            </w:r>
          </w:p>
        </w:tc>
        <w:tc>
          <w:tcPr>
            <w:tcW w:w="8080" w:type="dxa"/>
            <w:vAlign w:val="bottom"/>
          </w:tcPr>
          <w:p>
            <w:pPr>
              <w:spacing w:after="0"/>
              <w:rPr>
                <w:sz w:val="18"/>
                <w:szCs w:val="18"/>
                <w:color w:val="auto"/>
              </w:rPr>
            </w:pPr>
          </w:p>
        </w:tc>
      </w:tr>
      <w:tr>
        <w:trPr>
          <w:trHeight w:val="232"/>
        </w:trPr>
        <w:tc>
          <w:tcPr>
            <w:tcW w:w="3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Offices)</w:t>
            </w:r>
          </w:p>
        </w:tc>
        <w:tc>
          <w:tcPr>
            <w:tcW w:w="80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9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PIPER SANDLER COMPANIES AMENDED AND RESTATED</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2003 ANNUAL AND LONG-TERM INCENTIVE PLAN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May 17, 2023)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W. Geelan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Piper Sandler Companies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North 5th Street, Suite 1000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303-6000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4"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6" w:lineRule="exact"/>
        <w:rPr>
          <w:sz w:val="24"/>
          <w:szCs w:val="24"/>
          <w:color w:val="auto"/>
        </w:rPr>
      </w:pPr>
    </w:p>
    <w:p>
      <w:pPr>
        <w:sectPr>
          <w:pgSz w:w="11900" w:h="16838" w:orient="portrait"/>
          <w:cols w:equalWidth="0" w:num="2">
            <w:col w:w="6040" w:space="720"/>
            <w:col w:w="4480"/>
          </w:cols>
          <w:pgMar w:left="320" w:top="464"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1" w:lineRule="exact"/>
        <w:rPr>
          <w:sz w:val="24"/>
          <w:szCs w:val="24"/>
          <w:color w:val="auto"/>
        </w:rPr>
      </w:pPr>
    </w:p>
    <w:p>
      <w:pPr>
        <w:sectPr>
          <w:pgSz w:w="11900" w:h="16838" w:orient="portrait"/>
          <w:cols w:equalWidth="0" w:num="2">
            <w:col w:w="6040" w:space="720"/>
            <w:col w:w="4480"/>
          </w:cols>
          <w:pgMar w:left="320" w:top="464" w:right="339" w:bottom="1440" w:gutter="0" w:footer="0" w:header="0"/>
          <w:type w:val="continuous"/>
        </w:sectPr>
      </w:pPr>
    </w:p>
    <w:p>
      <w:pPr>
        <w:ind w:left="67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464" w:right="339" w:bottom="1440" w:gutter="0" w:footer="0" w:header="0"/>
          <w:type w:val="continuous"/>
        </w:sectPr>
      </w:pPr>
    </w:p>
    <w:p>
      <w:pPr>
        <w:spacing w:after="0" w:line="238" w:lineRule="exact"/>
        <w:rPr>
          <w:sz w:val="24"/>
          <w:szCs w:val="24"/>
          <w:color w:val="auto"/>
        </w:rPr>
      </w:pPr>
    </w:p>
    <w:p>
      <w:pPr>
        <w:ind w:firstLine="64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firstLine="64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Registration Statement on Form S-8 (this “Registration Statement”) is being filed for the purpose of registering an additional 3,087,152 shares of common stock, par value $0.01 per share (the “Common Stock”), of Piper Sandler Companies, a Delaware corporation (the “Registrant”), to be issued pursuant to the Piper Sandler Companies Amended and Restated 2003 Annual and Long-Term Incentive Plan (as amended and restated May 17, 2023) (the “Plan”). In accordance with Section E of the General Instructions to Form S-8, the contents of the following Registration Statements on Form S-8 relating to </w:t>
      </w:r>
      <w:hyperlink r:id="rId17">
        <w:r>
          <w:rPr>
            <w:rFonts w:ascii="Times New Roman" w:cs="Times New Roman" w:eastAsia="Times New Roman" w:hAnsi="Times New Roman"/>
            <w:sz w:val="18"/>
            <w:szCs w:val="18"/>
            <w:color w:val="auto"/>
          </w:rPr>
          <w:t xml:space="preserve">the Plan previously filed with the Securities and Exchange Commission (the “Commission”) are incorporated herein by reference </w:t>
        </w:r>
        <w:r>
          <w:rPr>
            <w:rFonts w:ascii="Times New Roman" w:cs="Times New Roman" w:eastAsia="Times New Roman" w:hAnsi="Times New Roman"/>
            <w:sz w:val="18"/>
            <w:szCs w:val="18"/>
            <w:u w:val="single" w:color="auto"/>
            <w:color w:val="0000EE"/>
          </w:rPr>
          <w:t>File No. 333-111665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File</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No. 333-122494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 No. 333-142699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 No. 333-150962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 No. 333-159360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 No. 333-205229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 No. 333-228096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 No. 333-238598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File</w:t>
        </w:r>
      </w:hyperlink>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No. 333-268089</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File No. 333-272072</w:t>
        </w:r>
      </w:hyperlink>
      <w:hyperlink r:id="rId18">
        <w:r>
          <w:rPr>
            <w:rFonts w:ascii="Times New Roman" w:cs="Times New Roman" w:eastAsia="Times New Roman" w:hAnsi="Times New Roman"/>
            <w:sz w:val="18"/>
            <w:szCs w:val="18"/>
            <w:color w:val="000000"/>
          </w:rPr>
          <w:t>.</w:t>
        </w:r>
      </w:hyperlink>
    </w:p>
    <w:p>
      <w:pPr>
        <w:spacing w:after="0" w:line="1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rFonts w:ascii="Times New Roman" w:cs="Times New Roman" w:eastAsia="Times New Roman" w:hAnsi="Times New Roman"/>
          <w:sz w:val="18"/>
          <w:szCs w:val="18"/>
          <w:color w:val="0000EE"/>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rFonts w:ascii="Times New Roman" w:cs="Times New Roman" w:eastAsia="Times New Roman" w:hAnsi="Times New Roman"/>
          <w:sz w:val="18"/>
          <w:szCs w:val="18"/>
          <w:color w:val="0000EE"/>
        </w:rPr>
      </w:pPr>
    </w:p>
    <w:p>
      <w:pPr>
        <w:ind w:left="640"/>
        <w:spacing w:after="0"/>
        <w:rPr>
          <w:sz w:val="20"/>
          <w:szCs w:val="20"/>
          <w:color w:val="auto"/>
        </w:rPr>
      </w:pPr>
      <w:r>
        <w:rPr>
          <w:rFonts w:ascii="Times New Roman" w:cs="Times New Roman" w:eastAsia="Times New Roman" w:hAnsi="Times New Roman"/>
          <w:sz w:val="18"/>
          <w:szCs w:val="18"/>
          <w:color w:val="auto"/>
        </w:rPr>
        <w:t>The following are filed as exhibits to this Registration Statement:</w:t>
      </w:r>
    </w:p>
    <w:p>
      <w:pPr>
        <w:spacing w:after="0" w:line="216"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6"/>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04"/>
        </w:trPr>
        <w:tc>
          <w:tcPr>
            <w:tcW w:w="220" w:type="dxa"/>
            <w:vAlign w:val="bottom"/>
          </w:tcPr>
          <w:p>
            <w:pPr>
              <w:spacing w:after="0"/>
              <w:rPr>
                <w:sz w:val="24"/>
                <w:szCs w:val="24"/>
                <w:color w:val="auto"/>
              </w:rPr>
            </w:pPr>
          </w:p>
        </w:tc>
        <w:tc>
          <w:tcPr>
            <w:tcW w:w="92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9"/>
        </w:trPr>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8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80" w:type="dxa"/>
            <w:vAlign w:val="bottom"/>
          </w:tcPr>
          <w:p>
            <w:pPr>
              <w:spacing w:after="0"/>
              <w:rPr>
                <w:sz w:val="21"/>
                <w:szCs w:val="21"/>
                <w:color w:val="auto"/>
              </w:rPr>
            </w:pPr>
          </w:p>
        </w:tc>
        <w:tc>
          <w:tcPr>
            <w:tcW w:w="22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Method of Filing</w:t>
            </w:r>
          </w:p>
        </w:tc>
      </w:tr>
      <w:tr>
        <w:trPr>
          <w:trHeight w:val="167"/>
        </w:trPr>
        <w:tc>
          <w:tcPr>
            <w:tcW w:w="220" w:type="dxa"/>
            <w:vAlign w:val="bottom"/>
            <w:tcBorders>
              <w:top w:val="single" w:sz="8" w:color="auto"/>
            </w:tcBorders>
          </w:tcPr>
          <w:p>
            <w:pPr>
              <w:spacing w:after="0" w:line="167" w:lineRule="exact"/>
              <w:rPr>
                <w:rFonts w:ascii="Times New Roman" w:cs="Times New Roman" w:eastAsia="Times New Roman" w:hAnsi="Times New Roman"/>
                <w:sz w:val="18"/>
                <w:szCs w:val="18"/>
                <w:color w:val="0000EE"/>
                <w:w w:val="79"/>
              </w:rPr>
            </w:pPr>
            <w:hyperlink r:id="rId20">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auto"/>
            </w:tcBorders>
            <w:gridSpan w:val="12"/>
          </w:tcPr>
          <w:p>
            <w:pPr>
              <w:spacing w:after="0" w:line="167"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Amended and Restated Certificate of Incorporation of Piper Sandler Companies</w:t>
              </w:r>
            </w:hyperlink>
          </w:p>
        </w:tc>
        <w:tc>
          <w:tcPr>
            <w:tcW w:w="220" w:type="dxa"/>
            <w:vAlign w:val="bottom"/>
          </w:tcPr>
          <w:p>
            <w:pPr>
              <w:spacing w:after="0"/>
              <w:rPr>
                <w:sz w:val="14"/>
                <w:szCs w:val="14"/>
                <w:color w:val="auto"/>
              </w:rPr>
            </w:pPr>
          </w:p>
        </w:tc>
        <w:tc>
          <w:tcPr>
            <w:tcW w:w="1920" w:type="dxa"/>
            <w:vAlign w:val="bottom"/>
            <w:tcBorders>
              <w:top w:val="single" w:sz="8" w:color="auto"/>
            </w:tcBorders>
            <w:gridSpan w:val="5"/>
          </w:tcPr>
          <w:p>
            <w:pPr>
              <w:jc w:val="center"/>
              <w:ind w:left="791"/>
              <w:spacing w:after="0" w:line="167" w:lineRule="exact"/>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(1)</w:t>
              </w:r>
            </w:hyperlink>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220" w:type="dxa"/>
            <w:vAlign w:val="bottom"/>
          </w:tcPr>
          <w:p>
            <w:pPr>
              <w:spacing w:after="0"/>
              <w:rPr>
                <w:rFonts w:ascii="Times New Roman" w:cs="Times New Roman" w:eastAsia="Times New Roman" w:hAnsi="Times New Roman"/>
                <w:sz w:val="18"/>
                <w:szCs w:val="18"/>
                <w:color w:val="0000EE"/>
                <w:w w:val="79"/>
              </w:rPr>
            </w:pPr>
            <w:hyperlink r:id="rId21">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2</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Amendment of Amended and Restated Certificate of Incorporation of Piper</w:t>
              </w:r>
            </w:hyperlink>
          </w:p>
        </w:tc>
        <w:tc>
          <w:tcPr>
            <w:tcW w:w="1920" w:type="dxa"/>
            <w:vAlign w:val="bottom"/>
            <w:gridSpan w:val="5"/>
          </w:tcPr>
          <w:p>
            <w:pPr>
              <w:jc w:val="center"/>
              <w:ind w:left="791"/>
              <w:spacing w:after="0"/>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(2)</w:t>
              </w:r>
            </w:hyperlink>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3"/>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Sandler Companies</w:t>
              </w:r>
            </w:hyperlink>
          </w:p>
        </w:tc>
        <w:tc>
          <w:tcPr>
            <w:tcW w:w="5680" w:type="dxa"/>
            <w:vAlign w:val="bottom"/>
            <w:gridSpan w:val="10"/>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07"/>
        </w:trPr>
        <w:tc>
          <w:tcPr>
            <w:tcW w:w="220" w:type="dxa"/>
            <w:vAlign w:val="bottom"/>
          </w:tcPr>
          <w:p>
            <w:pPr>
              <w:spacing w:after="0"/>
              <w:rPr>
                <w:rFonts w:ascii="Times New Roman" w:cs="Times New Roman" w:eastAsia="Times New Roman" w:hAnsi="Times New Roman"/>
                <w:sz w:val="18"/>
                <w:szCs w:val="18"/>
                <w:color w:val="0000EE"/>
                <w:w w:val="79"/>
              </w:rPr>
            </w:pPr>
            <w:hyperlink r:id="rId22">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3</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Bylaws of Piper Sandler Companies (as of February 9, 2023)</w:t>
              </w:r>
            </w:hyperlink>
          </w:p>
        </w:tc>
        <w:tc>
          <w:tcPr>
            <w:tcW w:w="1920" w:type="dxa"/>
            <w:vAlign w:val="bottom"/>
            <w:gridSpan w:val="5"/>
          </w:tcPr>
          <w:p>
            <w:pPr>
              <w:jc w:val="center"/>
              <w:ind w:left="791"/>
              <w:spacing w:after="0"/>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(3)</w:t>
              </w:r>
            </w:hyperlink>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220" w:type="dxa"/>
            <w:vAlign w:val="bottom"/>
          </w:tcPr>
          <w:p>
            <w:pPr>
              <w:spacing w:after="0"/>
              <w:rPr>
                <w:rFonts w:ascii="Times New Roman" w:cs="Times New Roman" w:eastAsia="Times New Roman" w:hAnsi="Times New Roman"/>
                <w:sz w:val="18"/>
                <w:szCs w:val="18"/>
                <w:color w:val="0000EE"/>
                <w:w w:val="79"/>
              </w:rPr>
            </w:pPr>
            <w:hyperlink r:id="rId23">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4</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Specimen Certificate for Piper Sandler Companies Common Stock</w:t>
              </w:r>
            </w:hyperlink>
          </w:p>
        </w:tc>
        <w:tc>
          <w:tcPr>
            <w:tcW w:w="1920" w:type="dxa"/>
            <w:vAlign w:val="bottom"/>
            <w:gridSpan w:val="5"/>
          </w:tcPr>
          <w:p>
            <w:pPr>
              <w:jc w:val="center"/>
              <w:ind w:left="791"/>
              <w:spacing w:after="0"/>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(4)</w:t>
              </w:r>
            </w:hyperlink>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220" w:type="dxa"/>
            <w:vAlign w:val="bottom"/>
          </w:tcPr>
          <w:p>
            <w:pPr>
              <w:spacing w:after="0"/>
              <w:rPr>
                <w:rFonts w:ascii="Times New Roman" w:cs="Times New Roman" w:eastAsia="Times New Roman" w:hAnsi="Times New Roman"/>
                <w:sz w:val="18"/>
                <w:szCs w:val="18"/>
                <w:color w:val="0000EE"/>
                <w:w w:val="79"/>
              </w:rPr>
            </w:pPr>
            <w:hyperlink r:id="rId24">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5</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Piper Sandler Companies Amended and Restated 2003 Annual and Long-Term Incentive Plan</w:t>
              </w:r>
            </w:hyperlink>
          </w:p>
        </w:tc>
        <w:tc>
          <w:tcPr>
            <w:tcW w:w="1920" w:type="dxa"/>
            <w:vAlign w:val="bottom"/>
            <w:gridSpan w:val="5"/>
          </w:tcPr>
          <w:p>
            <w:pPr>
              <w:jc w:val="center"/>
              <w:ind w:left="791"/>
              <w:spacing w:after="0"/>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(5)</w:t>
              </w:r>
            </w:hyperlink>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3"/>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(as amended and restated May 17, 2023)</w:t>
              </w:r>
            </w:hyperlink>
          </w:p>
        </w:tc>
        <w:tc>
          <w:tcPr>
            <w:tcW w:w="4180" w:type="dxa"/>
            <w:vAlign w:val="bottom"/>
            <w:gridSpan w:val="8"/>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Faegre Drinker Biddle &amp; Reath LLP</w:t>
            </w:r>
          </w:p>
        </w:tc>
        <w:tc>
          <w:tcPr>
            <w:tcW w:w="580" w:type="dxa"/>
            <w:vAlign w:val="bottom"/>
          </w:tcPr>
          <w:p>
            <w:pPr>
              <w:spacing w:after="0"/>
              <w:rPr>
                <w:sz w:val="24"/>
                <w:szCs w:val="24"/>
                <w:color w:val="auto"/>
              </w:rPr>
            </w:pPr>
          </w:p>
        </w:tc>
        <w:tc>
          <w:tcPr>
            <w:tcW w:w="22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580" w:type="dxa"/>
            <w:vAlign w:val="bottom"/>
          </w:tcPr>
          <w:p>
            <w:pPr>
              <w:spacing w:after="0"/>
              <w:rPr>
                <w:sz w:val="24"/>
                <w:szCs w:val="24"/>
                <w:color w:val="auto"/>
              </w:rPr>
            </w:pPr>
          </w:p>
        </w:tc>
        <w:tc>
          <w:tcPr>
            <w:tcW w:w="22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Faegre Drinker Biddle &amp; Reath LLP</w:t>
            </w:r>
          </w:p>
        </w:tc>
        <w:tc>
          <w:tcPr>
            <w:tcW w:w="580" w:type="dxa"/>
            <w:vAlign w:val="bottom"/>
          </w:tcPr>
          <w:p>
            <w:pPr>
              <w:spacing w:after="0"/>
              <w:rPr>
                <w:sz w:val="24"/>
                <w:szCs w:val="24"/>
                <w:color w:val="auto"/>
              </w:rPr>
            </w:pPr>
          </w:p>
        </w:tc>
        <w:tc>
          <w:tcPr>
            <w:tcW w:w="22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0000EE"/>
                <w:w w:val="98"/>
              </w:rPr>
              <w:t>Included in Exhibit 5.1</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580" w:type="dxa"/>
            <w:vAlign w:val="bottom"/>
          </w:tcPr>
          <w:p>
            <w:pPr>
              <w:spacing w:after="0"/>
              <w:rPr>
                <w:sz w:val="24"/>
                <w:szCs w:val="24"/>
                <w:color w:val="auto"/>
              </w:rPr>
            </w:pPr>
          </w:p>
        </w:tc>
        <w:tc>
          <w:tcPr>
            <w:tcW w:w="22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74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0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EE"/>
                <w:w w:val="70"/>
              </w:rPr>
              <w:t>107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580" w:type="dxa"/>
            <w:vAlign w:val="bottom"/>
          </w:tcPr>
          <w:p>
            <w:pPr>
              <w:spacing w:after="0"/>
              <w:rPr>
                <w:sz w:val="24"/>
                <w:szCs w:val="24"/>
                <w:color w:val="auto"/>
              </w:rPr>
            </w:pPr>
          </w:p>
        </w:tc>
        <w:tc>
          <w:tcPr>
            <w:tcW w:w="22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2" w:lineRule="exact"/>
        <w:rPr>
          <w:sz w:val="20"/>
          <w:szCs w:val="20"/>
          <w:color w:val="auto"/>
        </w:rPr>
      </w:pPr>
    </w:p>
    <w:p>
      <w:pPr>
        <w:ind w:left="1360" w:hanging="1353"/>
        <w:spacing w:after="0" w:line="258" w:lineRule="auto"/>
        <w:tabs>
          <w:tab w:leader="none" w:pos="1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3.1 to the Registrant’s Current Report on Form 8-K, filed with the Commission on May 18, 2023, and incorporated herein by reference.</w:t>
      </w:r>
    </w:p>
    <w:p>
      <w:pPr>
        <w:ind w:left="1360" w:right="20" w:hanging="1353"/>
        <w:spacing w:after="0" w:line="247" w:lineRule="auto"/>
        <w:tabs>
          <w:tab w:leader="none" w:pos="1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3.1 to the Registrant’s Current Report on Form 8-K, filed with the Commission on March 23, 2026, and incorporated herein by reference.</w:t>
      </w:r>
    </w:p>
    <w:p>
      <w:pPr>
        <w:ind w:left="1360" w:hanging="1353"/>
        <w:spacing w:after="0" w:line="247" w:lineRule="auto"/>
        <w:tabs>
          <w:tab w:leader="none" w:pos="1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3.1 to the Registrant’s Current Report on Form 8-K, filed with the Commission on February 10, 2023, and incorporated herein by reference.</w:t>
      </w:r>
    </w:p>
    <w:p>
      <w:pPr>
        <w:ind w:left="1360" w:hanging="1353"/>
        <w:spacing w:after="0" w:line="247" w:lineRule="auto"/>
        <w:tabs>
          <w:tab w:leader="none" w:pos="1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4.1 to the Registrant’s Annual Report on Form 10-K for the fiscal year ended December 31, 2017, filed with the Commission on February 26, 2018, and incorporated herein by reference.</w:t>
      </w:r>
    </w:p>
    <w:p>
      <w:pPr>
        <w:ind w:left="1360" w:hanging="1353"/>
        <w:spacing w:after="0" w:line="255" w:lineRule="auto"/>
        <w:tabs>
          <w:tab w:leader="none" w:pos="1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10.1 to the Registrant’s Current Report on Form 8-K, filed with the Commission on May 18, 2023,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May 21,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PIPER SANDLER COMPANIES</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Chad R. Abraham</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SIGNATURE</w:t>
            </w:r>
          </w:p>
        </w:tc>
        <w:tc>
          <w:tcPr>
            <w:tcW w:w="536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TITLE</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2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Chad R. Abraham</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Chairman and Chief Executive Officer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Chad R. Abraham</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50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Katherine P. Clune</w:t>
            </w:r>
          </w:p>
        </w:tc>
        <w:tc>
          <w:tcPr>
            <w:tcW w:w="53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Katherine P. Clune</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c>
          <w:tcPr>
            <w:tcW w:w="250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J. Doyle</w:t>
            </w:r>
          </w:p>
        </w:tc>
        <w:tc>
          <w:tcPr>
            <w:tcW w:w="53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Stuart M. Essig</w:t>
            </w:r>
          </w:p>
        </w:tc>
        <w:tc>
          <w:tcPr>
            <w:tcW w:w="53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 C. Gallo</w:t>
            </w:r>
          </w:p>
        </w:tc>
        <w:tc>
          <w:tcPr>
            <w:tcW w:w="53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Victoria M. Holt</w:t>
            </w:r>
          </w:p>
        </w:tc>
        <w:tc>
          <w:tcPr>
            <w:tcW w:w="53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3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Robbin Mitchell</w:t>
            </w:r>
          </w:p>
        </w:tc>
        <w:tc>
          <w:tcPr>
            <w:tcW w:w="53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648"/>
        </w:trPr>
        <w:tc>
          <w:tcPr>
            <w:tcW w:w="3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4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7"/>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S. Schreier, Jr.</w:t>
            </w:r>
          </w:p>
        </w:tc>
        <w:tc>
          <w:tcPr>
            <w:tcW w:w="44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4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7"/>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 E. Soran</w:t>
            </w:r>
          </w:p>
        </w:tc>
        <w:tc>
          <w:tcPr>
            <w:tcW w:w="44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4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7"/>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R. Sterling</w:t>
            </w:r>
          </w:p>
        </w:tc>
        <w:tc>
          <w:tcPr>
            <w:tcW w:w="44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0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4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7"/>
              </w:rPr>
              <w:t>May 21, 2026</w:t>
            </w:r>
          </w:p>
        </w:tc>
      </w:tr>
      <w:tr>
        <w:trPr>
          <w:trHeight w:val="2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Scott C. Taylor</w:t>
            </w:r>
          </w:p>
        </w:tc>
        <w:tc>
          <w:tcPr>
            <w:tcW w:w="4400" w:type="dxa"/>
            <w:vAlign w:val="bottom"/>
          </w:tcPr>
          <w:p>
            <w:pPr>
              <w:spacing w:after="0"/>
              <w:rPr>
                <w:sz w:val="19"/>
                <w:szCs w:val="19"/>
                <w:color w:val="auto"/>
              </w:rPr>
            </w:pPr>
          </w:p>
        </w:tc>
        <w:tc>
          <w:tcPr>
            <w:tcW w:w="2560" w:type="dxa"/>
            <w:vAlign w:val="bottom"/>
          </w:tcPr>
          <w:p>
            <w:pPr>
              <w:spacing w:after="0"/>
              <w:rPr>
                <w:sz w:val="19"/>
                <w:szCs w:val="19"/>
                <w:color w:val="auto"/>
              </w:rPr>
            </w:pPr>
          </w:p>
        </w:tc>
      </w:tr>
    </w:tbl>
    <w:p>
      <w:pPr>
        <w:spacing w:after="0" w:line="176" w:lineRule="exact"/>
        <w:rPr>
          <w:sz w:val="20"/>
          <w:szCs w:val="20"/>
          <w:color w:val="auto"/>
        </w:rPr>
      </w:pPr>
    </w:p>
    <w:p>
      <w:pPr>
        <w:ind w:left="580" w:hanging="573"/>
        <w:spacing w:after="0" w:line="277"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 Geelan, by signing his name hereto, does sign this document on behalf of the above noted individuals, pursuant to the powers of attorney duly executed by such individuals which have been filed as an exhibit to this Registration Statement.</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W. Geelan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W. Geelan</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96455"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964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b w:val="1"/>
          <w:bCs w:val="1"/>
          <w:color w:val="auto"/>
        </w:rPr>
        <w:t>Faegre Drinker Biddle &amp; Reath LLP</w:t>
      </w:r>
    </w:p>
    <w:p>
      <w:pPr>
        <w:spacing w:after="0" w:line="4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2200 Wells Fargo Center</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90 South Seventh Street</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+1 612 766 7000 main</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+1 612 766 1600 fax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Companies</w:t>
      </w:r>
    </w:p>
    <w:p>
      <w:pPr>
        <w:spacing w:after="0" w:line="187" w:lineRule="auto"/>
        <w:rPr>
          <w:sz w:val="20"/>
          <w:szCs w:val="20"/>
          <w:color w:val="auto"/>
        </w:rPr>
      </w:pPr>
      <w:r>
        <w:rPr>
          <w:rFonts w:ascii="Times New Roman" w:cs="Times New Roman" w:eastAsia="Times New Roman" w:hAnsi="Times New Roman"/>
          <w:sz w:val="18"/>
          <w:szCs w:val="18"/>
          <w:color w:val="auto"/>
        </w:rPr>
        <w:t>350 North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1000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have acted as counsel to Piper Sandler Companies,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registering the offer and sale of up to an additional 3,087,152 shares of common stock, par value $0.01 per share,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issuable by the Company pursuant to the Piper Sandler Companies Amended and Restated 2003 Annual and Long-Term Incentive Plan (as amended and restated May 17, 2023,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For purposes of this opinion letter, we have examined the Plan, the Registration Statement, the Amended and Restated Certificate of Incorporation of the Company, as amended and as currently in effect, the Amended and Restated Bylaws of the Company, as currently in effect, and the resolutions of the Company’s board of directors authorizing the issuance of the Shares. We have also examined a certificate of the Secretary of the Company dated as of the date hereof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facts material to this opinion letter, we have relied upon certificates, statements or representations of public officials, of officers and other representatives of the Company (including the Certificate), and of others, without any independent verification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of</w:t>
            </w:r>
          </w:p>
        </w:tc>
        <w:tc>
          <w:tcPr>
            <w:tcW w:w="43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Page 2</w:t>
            </w:r>
          </w:p>
        </w:tc>
        <w:tc>
          <w:tcPr>
            <w:tcW w:w="30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May 21, 2026</w:t>
            </w:r>
          </w:p>
        </w:tc>
      </w:tr>
      <w:tr>
        <w:trPr>
          <w:trHeight w:val="2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 Companies</w:t>
            </w:r>
          </w:p>
        </w:tc>
        <w:tc>
          <w:tcPr>
            <w:tcW w:w="436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have assumed: (i) the legal capacity of all natural persons; (ii) the genuineness of all signatures, including electronic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 without any independent verification or investigation thereof.</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Based upon and subject to the foregoing and the other qualifications, assumptions and limitations set forth herein, it is our opinion that all necessary corporate action on the part of the Company has been taken to authorize the issuance and sale of the Shares to be issued in accordance with the Plan and that, when the Shares are issued and sold as contemplated in the Registration Statement and the related prospectus and in accordance with the Plan and any applicable award agreement and, where applicable, the consideration for the Shares specified in the Plan and any applicable award agreement has been received by the Company, the Shares will be validly issued, fully paid and nonassessable.</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express no opinion concerning the laws of any jurisdiction other than, subject to the limitations and assumptions contained herein, the General Corporation Law of the State of Delaware.</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opinion letter speaks only as of the date the Registration Statement becomes effective under the Securities Act, and we assume no obligation to revise or supplement this opinion letter thereafter. This opinion letter is limited to the specific issues addressed herein, and no opinion may be inferred or implied beyond that expressly stated herein.</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Faegre Drinker Biddle &amp; Reath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6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FAEGRE DRINKER BIDDLE &amp; REATH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Piper Sandler Companies Amended and Restated 2003 Annual and Long-Term Incentive Plan of our report dated February 26, 2026, with respect to the consolidated financial statements of Piper Sandler Companies and the effectiveness of internal control over financial reporting of Piper Sandler Companies included in its Annual Report (Form 10-K) for the year ended December 31, 2025,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444500</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PERSONS BY THESE PRESENTS:</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That each person whose signature appears below, as a director and/or officer of Piper Sandler Companies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its general offices in the City of Minneapolis, State of Minnesota, does hereby make, constitute and appoint Chad R. Abraham, Katherine P. Clune and John W. Geelan, or any one of them acting alone, his or her true and lawful attorneys, with full power of substitution and resubstitution, in his or her name, place and stead, in any and all capacities, to execute and sign a registration statement or registration statements on Form S-8 covering the registration of securities of the Company to be issued under the Piper Sandler Companies Amended and Restated 2003 Annual and Log-Term Incentive Plan (as amended and restated May 17, 2023) as approved by the Board of Directors of the Company, and any amendments or post-effective amendments to such registration statement or statements and documents in connection therewith, all to be filed with the Securities and Exchange Commission under the Securities Act of 1933, as amended, giving and granting unto said attorneys full power and authority to do and perform such actions as fully as they might have done or could do if personally present and executing any of said documents.</w:t>
      </w:r>
    </w:p>
    <w:p>
      <w:pPr>
        <w:sectPr>
          <w:pgSz w:w="11900" w:h="16838" w:orient="portrait"/>
          <w:cols w:equalWidth="0" w:num="1">
            <w:col w:w="11240"/>
          </w:cols>
          <w:pgMar w:left="320" w:top="3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and effective as of May 21,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Chad 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Chad R. Abraham, Chairman and Chief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Katherine P. Clune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Katherine P. Clune, Chief Financial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J.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J. Doyle, Director</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M. Essig, Director</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Ann C. Gallo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C. Gallo, Director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994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 M. Holt,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Robbin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90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 Mitchell, Director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S. Schreier,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90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S. Schreier, Jr., 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Philip E.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905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E. Soran, Director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R.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90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R. Sterling, Director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90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C. Taylor,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850900</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2">
            <w:col w:w="5020" w:space="720"/>
            <w:col w:w="5500"/>
          </w:cols>
          <w:pgMar w:left="320" w:top="357" w:right="339" w:bottom="1440" w:gutter="0" w:footer="0" w:header="0"/>
          <w:type w:val="continuous"/>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3"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36"/>
          <w:szCs w:val="36"/>
          <w:b w:val="1"/>
          <w:bCs w:val="1"/>
          <w:color w:val="auto"/>
        </w:rPr>
        <w:t>PIPER SANDLER COMPANIES</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40" w:type="dxa"/>
            <w:vAlign w:val="bottom"/>
          </w:tcPr>
          <w:p>
            <w:pPr>
              <w:spacing w:after="0"/>
              <w:rPr>
                <w:sz w:val="20"/>
                <w:szCs w:val="20"/>
                <w:color w:val="auto"/>
              </w:rPr>
            </w:pPr>
          </w:p>
        </w:tc>
        <w:tc>
          <w:tcPr>
            <w:tcW w:w="13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4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3,087,152</w:t>
            </w:r>
          </w:p>
        </w:tc>
        <w:tc>
          <w:tcPr>
            <w:tcW w:w="40" w:type="dxa"/>
            <w:vAlign w:val="bottom"/>
          </w:tcPr>
          <w:p>
            <w:pPr>
              <w:spacing w:after="0"/>
              <w:rPr>
                <w:sz w:val="10"/>
                <w:szCs w:val="1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$ 79.10</w:t>
            </w:r>
          </w:p>
        </w:tc>
        <w:tc>
          <w:tcPr>
            <w:tcW w:w="4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$ 33,723.15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shd w:val="clear" w:color="auto" w:fill="E7E7E2"/>
          </w:tcPr>
          <w:p>
            <w:pPr>
              <w:jc w:val="right"/>
              <w:spacing w:after="0" w:line="213" w:lineRule="exact"/>
              <w:rPr>
                <w:sz w:val="20"/>
                <w:szCs w:val="20"/>
                <w:color w:val="auto"/>
              </w:rPr>
            </w:pPr>
            <w:r>
              <w:rPr>
                <w:rFonts w:ascii="Arial" w:cs="Arial" w:eastAsia="Arial" w:hAnsi="Arial"/>
                <w:sz w:val="21"/>
                <w:szCs w:val="21"/>
                <w:color w:val="auto"/>
              </w:rPr>
              <w:t>244,193,723.20</w:t>
            </w:r>
          </w:p>
        </w:tc>
        <w:tc>
          <w:tcPr>
            <w:tcW w:w="2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$ 33,723.15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21"/>
                <w:szCs w:val="21"/>
                <w:color w:val="auto"/>
              </w:rPr>
              <w:t>244,193,723.20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$ 33,723.15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spacing w:after="0" w:line="245" w:lineRule="auto"/>
        <w:rPr>
          <w:sz w:val="20"/>
          <w:szCs w:val="20"/>
          <w:color w:val="auto"/>
        </w:rPr>
      </w:pPr>
      <w:r>
        <w:rPr>
          <w:rFonts w:ascii="Arial" w:cs="Arial" w:eastAsia="Arial" w:hAnsi="Arial"/>
          <w:sz w:val="21"/>
          <w:szCs w:val="21"/>
          <w:color w:val="auto"/>
        </w:rPr>
        <w:t>Note 1a. This registration statement shall also cover any additional shares of common stock, par value $0.01 per share (the "Common Stock"), of the registrant which become issuable with respect to the shares of Common Stock registered hereunder for issuance under the Piper Sandler Companies Amended and Restated 2003 Annual and Long-Term Incentive Plan (as amended and restated May 17, 2023) by reason of any stock dividend, stock split, recapitalization or other similar transaction effected without the registrant's receipt of consideration which results in an increase in the number of the outstanding shares of Common Stock.</w:t>
      </w:r>
    </w:p>
    <w:p>
      <w:pPr>
        <w:spacing w:after="0" w:line="196" w:lineRule="exact"/>
        <w:rPr>
          <w:sz w:val="20"/>
          <w:szCs w:val="20"/>
          <w:color w:val="auto"/>
        </w:rPr>
      </w:pPr>
    </w:p>
    <w:p>
      <w:pPr>
        <w:ind w:left="800" w:right="720"/>
        <w:spacing w:after="0" w:line="258" w:lineRule="auto"/>
        <w:rPr>
          <w:sz w:val="20"/>
          <w:szCs w:val="20"/>
          <w:color w:val="auto"/>
        </w:rPr>
      </w:pPr>
      <w:r>
        <w:rPr>
          <w:rFonts w:ascii="Arial" w:cs="Arial" w:eastAsia="Arial" w:hAnsi="Arial"/>
          <w:sz w:val="21"/>
          <w:szCs w:val="21"/>
          <w:color w:val="auto"/>
        </w:rPr>
        <w:t>Note 1b. Estimated solely for purposes of calculating the registration fee, pursuant to Rule 457(h) and Rule 457(c), based on the average of the high and low sale prices per share of Common Stock on May 18, 2026,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220980</wp:posOffset>
            </wp:positionV>
            <wp:extent cx="638810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38810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97725" cy="2461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97725" cy="2461260"/>
                    </a:xfrm>
                    <a:prstGeom prst="rect">
                      <a:avLst/>
                    </a:prstGeom>
                    <a:noFill/>
                  </pic:spPr>
                </pic:pic>
              </a:graphicData>
            </a:graphic>
          </wp:anchor>
        </w:drawing>
      </w:r>
    </w:p>
    <w:p>
      <w:pPr>
        <w:sectPr>
          <w:pgSz w:w="11900" w:h="16838" w:orient="portrait"/>
          <w:cols w:equalWidth="0" w:num="1">
            <w:col w:w="11220"/>
          </w:cols>
          <w:pgMar w:left="36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4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shd w:val="clear" w:color="auto" w:fill="9ADAF6"/>
          </w:tcPr>
          <w:p>
            <w:pPr>
              <w:jc w:val="center"/>
              <w:spacing w:after="0" w:line="215"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4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7"/>
        </w:trPr>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7"/>
        </w:trPr>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5"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40"/>
      </w:cols>
      <w:pgMar w:left="360" w:top="14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jpe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17" Type="http://schemas.openxmlformats.org/officeDocument/2006/relationships/hyperlink" Target="https://www.sec.gov/Archives/edgar/data/1230245/000095013405001924/c91727sv8.htm" TargetMode="External"/><Relationship Id="rId18" Type="http://schemas.openxmlformats.org/officeDocument/2006/relationships/hyperlink" Target="https://www.sec.gov/Archives/edgar/data/1230245/000110465922113319/tm2229232d1_s8.htm" TargetMode="External"/><Relationship Id="rId19" Type="http://schemas.openxmlformats.org/officeDocument/2006/relationships/hyperlink" Target="https://www.sec.gov/Archives/edgar/data/1230245/000110465923062552/tm2316264d1_s8.htm" TargetMode="External"/><Relationship Id="rId20" Type="http://schemas.openxmlformats.org/officeDocument/2006/relationships/hyperlink" Target="https://www.sec.gov/Archives/edgar/data/1230245/000110465923062270/tm2316172d1_ex3-1.htm" TargetMode="External"/><Relationship Id="rId21" Type="http://schemas.openxmlformats.org/officeDocument/2006/relationships/hyperlink" Target="https://www.sec.gov/Archives/edgar/data/1230245/000110465926033351/tm268988d1_ex3-1.htm" TargetMode="External"/><Relationship Id="rId22" Type="http://schemas.openxmlformats.org/officeDocument/2006/relationships/hyperlink" Target="https://www.sec.gov/Archives/edgar/data/1230245/000110465923018641/tm235681d1_ex3-1.htm" TargetMode="External"/><Relationship Id="rId23" Type="http://schemas.openxmlformats.org/officeDocument/2006/relationships/hyperlink" Target="https://www.sec.gov/Archives/edgar/data/1230245/000123024518000034/pjcq42017ex41.htm" TargetMode="External"/><Relationship Id="rId24" Type="http://schemas.openxmlformats.org/officeDocument/2006/relationships/hyperlink" Target="https://www.sec.gov/Archives/edgar/data/1230245/000110465923062270/tm231617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2026-05-21T11:46:02Z</dcterms:created>
  <dcterms:modified xsi:type="dcterms:W3CDTF">2026-05-21T11:46:02Z</dcterms:modified>
</cp:coreProperties>
</file>